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4771" w14:textId="00832A71" w:rsidR="00AA0C57" w:rsidRPr="00CE748A" w:rsidRDefault="00AA0C57" w:rsidP="00AA0C57">
      <w:pPr>
        <w:ind w:firstLine="0"/>
        <w:jc w:val="center"/>
        <w:rPr>
          <w:rFonts w:ascii="Traditional Arabic" w:hAnsi="Traditional Arabic" w:cs="Traditional Arabic"/>
          <w:b/>
          <w:bCs/>
          <w:color w:val="FF0000"/>
          <w:sz w:val="48"/>
          <w:szCs w:val="48"/>
          <w:rtl/>
        </w:rPr>
      </w:pPr>
      <w:r w:rsidRPr="00CE748A">
        <w:rPr>
          <w:rFonts w:ascii="Traditional Arabic" w:hAnsi="Traditional Arabic" w:cs="Traditional Arabic" w:hint="cs"/>
          <w:b/>
          <w:bCs/>
          <w:color w:val="FF0000"/>
          <w:sz w:val="48"/>
          <w:szCs w:val="48"/>
          <w:rtl/>
        </w:rPr>
        <w:t xml:space="preserve">مسائل </w:t>
      </w:r>
      <w:r w:rsidR="004A7D09" w:rsidRPr="00CE748A">
        <w:rPr>
          <w:rFonts w:ascii="Traditional Arabic" w:hAnsi="Traditional Arabic" w:cs="Traditional Arabic" w:hint="cs"/>
          <w:b/>
          <w:bCs/>
          <w:color w:val="FF0000"/>
          <w:sz w:val="48"/>
          <w:szCs w:val="48"/>
          <w:rtl/>
        </w:rPr>
        <w:t>فقهية معاصرة</w:t>
      </w:r>
    </w:p>
    <w:p w14:paraId="42F77BFD" w14:textId="1B15D11A" w:rsidR="00AA0C57" w:rsidRPr="00CE748A" w:rsidRDefault="00AA0C57" w:rsidP="00AA0C57">
      <w:pPr>
        <w:ind w:firstLine="0"/>
        <w:jc w:val="center"/>
        <w:rPr>
          <w:rFonts w:ascii="Traditional Arabic" w:hAnsi="Traditional Arabic" w:cs="Traditional Arabic"/>
          <w:b/>
          <w:bCs/>
          <w:color w:val="0000FF"/>
          <w:sz w:val="48"/>
          <w:szCs w:val="48"/>
          <w:rtl/>
        </w:rPr>
      </w:pPr>
      <w:r w:rsidRPr="00CE748A">
        <w:rPr>
          <w:rFonts w:ascii="Traditional Arabic" w:hAnsi="Traditional Arabic" w:cs="Traditional Arabic" w:hint="cs"/>
          <w:b/>
          <w:bCs/>
          <w:color w:val="0000FF"/>
          <w:sz w:val="48"/>
          <w:szCs w:val="48"/>
          <w:rtl/>
        </w:rPr>
        <w:t>الدرس الرابع</w:t>
      </w:r>
      <w:r w:rsidR="004A7D09" w:rsidRPr="00CE748A">
        <w:rPr>
          <w:rFonts w:ascii="Traditional Arabic" w:hAnsi="Traditional Arabic" w:cs="Traditional Arabic" w:hint="cs"/>
          <w:b/>
          <w:bCs/>
          <w:color w:val="0000FF"/>
          <w:sz w:val="48"/>
          <w:szCs w:val="48"/>
          <w:rtl/>
        </w:rPr>
        <w:t xml:space="preserve"> </w:t>
      </w:r>
      <w:r w:rsidR="004A7D09" w:rsidRPr="00CE748A">
        <w:rPr>
          <w:rFonts w:ascii="Traditional Arabic" w:hAnsi="Traditional Arabic" w:cs="Traditional Arabic"/>
          <w:b/>
          <w:bCs/>
          <w:color w:val="0000FF"/>
          <w:sz w:val="48"/>
          <w:szCs w:val="48"/>
          <w:rtl/>
        </w:rPr>
        <w:t>–</w:t>
      </w:r>
      <w:r w:rsidR="004A7D09" w:rsidRPr="00CE748A">
        <w:rPr>
          <w:rFonts w:ascii="Traditional Arabic" w:hAnsi="Traditional Arabic" w:cs="Traditional Arabic" w:hint="cs"/>
          <w:b/>
          <w:bCs/>
          <w:color w:val="0000FF"/>
          <w:sz w:val="48"/>
          <w:szCs w:val="48"/>
          <w:rtl/>
        </w:rPr>
        <w:t xml:space="preserve"> برنامج لَبِنَات</w:t>
      </w:r>
    </w:p>
    <w:p w14:paraId="2B5C6CC2" w14:textId="77777777" w:rsidR="00AA0C57" w:rsidRPr="00CE748A" w:rsidRDefault="00AA0C57" w:rsidP="00AA0C57">
      <w:pPr>
        <w:ind w:firstLine="0"/>
        <w:jc w:val="right"/>
        <w:rPr>
          <w:rFonts w:ascii="Traditional Arabic" w:hAnsi="Traditional Arabic" w:cs="Traditional Arabic"/>
          <w:b/>
          <w:bCs/>
          <w:color w:val="008000"/>
          <w:sz w:val="28"/>
          <w:szCs w:val="28"/>
          <w:rtl/>
        </w:rPr>
      </w:pPr>
      <w:r w:rsidRPr="00CE748A">
        <w:rPr>
          <w:rFonts w:ascii="Traditional Arabic" w:hAnsi="Traditional Arabic" w:cs="Traditional Arabic" w:hint="cs"/>
          <w:b/>
          <w:bCs/>
          <w:color w:val="008000"/>
          <w:sz w:val="28"/>
          <w:szCs w:val="28"/>
          <w:rtl/>
        </w:rPr>
        <w:t>فضيلة الشيخ/ د. عبد الحكيم العجلان</w:t>
      </w:r>
    </w:p>
    <w:p w14:paraId="1886FFE0" w14:textId="77777777" w:rsidR="00AA0C57" w:rsidRPr="00CE748A" w:rsidRDefault="00AA0C57" w:rsidP="008212C2">
      <w:pPr>
        <w:rPr>
          <w:rFonts w:ascii="Traditional Arabic" w:hAnsi="Traditional Arabic" w:cs="Traditional Arabic"/>
          <w:sz w:val="34"/>
          <w:szCs w:val="34"/>
          <w:rtl/>
        </w:rPr>
      </w:pPr>
    </w:p>
    <w:p w14:paraId="4F2A53D8" w14:textId="50D50E00"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الس</w:t>
      </w:r>
      <w:r w:rsidR="00AE11F7"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لام عليكم ورحمة الله وبركاته.</w:t>
      </w:r>
    </w:p>
    <w:p w14:paraId="25DF67ED" w14:textId="031EC8C3"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الحمدُ لله أفضل ما ينبغي أن يُحمَد، وصل</w:t>
      </w:r>
      <w:r w:rsidR="00AE11F7"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ى الله وسل</w:t>
      </w:r>
      <w:r w:rsidR="00AE11F7"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م على أفضل المصطفين محمد، وعلى آله وأصحابه ومَن تعبَّد.</w:t>
      </w:r>
    </w:p>
    <w:p w14:paraId="06A2BC81" w14:textId="36737D3B"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نجتمع وإيَّاكم في هذا المجلس من مجالس الل</w:t>
      </w:r>
      <w:r w:rsidR="00AE11F7"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 xml:space="preserve">بنات لنتواصى على العلم </w:t>
      </w:r>
      <w:proofErr w:type="spellStart"/>
      <w:r w:rsidRPr="00CE748A">
        <w:rPr>
          <w:rFonts w:ascii="Traditional Arabic" w:hAnsi="Traditional Arabic" w:cs="Traditional Arabic"/>
          <w:sz w:val="34"/>
          <w:szCs w:val="34"/>
          <w:rtl/>
        </w:rPr>
        <w:t>ونتدارسه</w:t>
      </w:r>
      <w:proofErr w:type="spellEnd"/>
      <w:r w:rsidRPr="00CE748A">
        <w:rPr>
          <w:rFonts w:ascii="Traditional Arabic" w:hAnsi="Traditional Arabic" w:cs="Traditional Arabic"/>
          <w:sz w:val="34"/>
          <w:szCs w:val="34"/>
          <w:rtl/>
        </w:rPr>
        <w:t>، أسأل الله -جَلَّ وَعَلَا- أن يجعلنا و</w:t>
      </w:r>
      <w:r w:rsidR="00AE11F7" w:rsidRPr="00CE748A">
        <w:rPr>
          <w:rFonts w:ascii="Traditional Arabic" w:hAnsi="Traditional Arabic" w:cs="Traditional Arabic" w:hint="cs"/>
          <w:sz w:val="34"/>
          <w:szCs w:val="34"/>
          <w:rtl/>
        </w:rPr>
        <w:t>إ</w:t>
      </w:r>
      <w:r w:rsidRPr="00CE748A">
        <w:rPr>
          <w:rFonts w:ascii="Traditional Arabic" w:hAnsi="Traditional Arabic" w:cs="Traditional Arabic"/>
          <w:sz w:val="34"/>
          <w:szCs w:val="34"/>
          <w:rtl/>
        </w:rPr>
        <w:t>يَّاكم من أهل العلم الراسخي</w:t>
      </w:r>
      <w:r w:rsidRPr="00CE748A">
        <w:rPr>
          <w:rFonts w:ascii="Traditional Arabic" w:hAnsi="Traditional Arabic" w:cs="Traditional Arabic" w:hint="cs"/>
          <w:sz w:val="34"/>
          <w:szCs w:val="34"/>
          <w:rtl/>
        </w:rPr>
        <w:t>ن</w:t>
      </w:r>
      <w:r w:rsidRPr="00CE748A">
        <w:rPr>
          <w:rFonts w:ascii="Traditional Arabic" w:hAnsi="Traditional Arabic" w:cs="Traditional Arabic"/>
          <w:sz w:val="34"/>
          <w:szCs w:val="34"/>
          <w:rtl/>
        </w:rPr>
        <w:t>، وأن يبعثنا معهم في درجات الجنة في عليين، وأن يجعلنا مع الن</w:t>
      </w:r>
      <w:r w:rsidR="00AE11F7"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بي</w:t>
      </w:r>
      <w:r w:rsidR="00AE11F7"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ين والص</w:t>
      </w:r>
      <w:r w:rsidR="00AE11F7"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د</w:t>
      </w:r>
      <w:r w:rsidR="00AE11F7"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يقين، وأن يغفر لنا ولوالدينا وأزواجنا وذري</w:t>
      </w:r>
      <w:r w:rsidR="00AE11F7"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اتنا وأحبابنا والمسلمين.</w:t>
      </w:r>
    </w:p>
    <w:p w14:paraId="2C264654" w14:textId="6DB22675"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أيُّها الإخوة طل</w:t>
      </w:r>
      <w:r w:rsidR="00AE11F7"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 xml:space="preserve">اب العلم وطالباته، في مجلس من هذه المجالس المباركة التي </w:t>
      </w:r>
      <w:r w:rsidR="00AE11F7" w:rsidRPr="00CE748A">
        <w:rPr>
          <w:rFonts w:ascii="Traditional Arabic" w:hAnsi="Traditional Arabic" w:cs="Traditional Arabic" w:hint="cs"/>
          <w:sz w:val="34"/>
          <w:szCs w:val="34"/>
          <w:rtl/>
        </w:rPr>
        <w:t>ن</w:t>
      </w:r>
      <w:r w:rsidRPr="00CE748A">
        <w:rPr>
          <w:rFonts w:ascii="Traditional Arabic" w:hAnsi="Traditional Arabic" w:cs="Traditional Arabic"/>
          <w:sz w:val="34"/>
          <w:szCs w:val="34"/>
          <w:rtl/>
        </w:rPr>
        <w:t>تع</w:t>
      </w:r>
      <w:r w:rsidR="00AE11F7"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ارض وإيَّاكم ما يحضرنا من مسائل نردها إلى أصلها، ونتنبَّه إلى ما يؤثَّر فيها من الأحكام، وما يعترضها من العوارض في واقع الن</w:t>
      </w:r>
      <w:r w:rsidR="00AE11F7"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اس باعتبار</w:t>
      </w:r>
      <w:r w:rsidR="00AE11F7"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 xml:space="preserve"> ما جدَّ من الأحداث</w:t>
      </w:r>
      <w:r w:rsidR="00AE11F7"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w:t>
      </w:r>
    </w:p>
    <w:p w14:paraId="5364D776" w14:textId="0BDBDEEB"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كنَّا في المجلس الماضي تحدَّثنا عن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في </w:t>
      </w:r>
      <w:r w:rsidR="00DF7E23" w:rsidRPr="00CE748A">
        <w:rPr>
          <w:rFonts w:ascii="Traditional Arabic" w:hAnsi="Traditional Arabic" w:cs="Traditional Arabic"/>
          <w:sz w:val="34"/>
          <w:szCs w:val="34"/>
          <w:rtl/>
        </w:rPr>
        <w:t>الطَّائرة</w:t>
      </w:r>
      <w:r w:rsidRPr="00CE748A">
        <w:rPr>
          <w:rFonts w:ascii="Traditional Arabic" w:hAnsi="Traditional Arabic" w:cs="Traditional Arabic"/>
          <w:sz w:val="34"/>
          <w:szCs w:val="34"/>
          <w:rtl/>
        </w:rPr>
        <w:t>، وذكرنا أصل</w:t>
      </w:r>
      <w:r w:rsidR="00AE11F7"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 xml:space="preserve"> ذلك من جهةِ ما يُشبهها في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في الس</w:t>
      </w:r>
      <w:r w:rsidR="00AE11F7"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فينة، وذكرنا ما يتعل</w:t>
      </w:r>
      <w:r w:rsidR="00AE11F7"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 xml:space="preserve">ق بذلك مما ذكره أهل العلم في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في الس</w:t>
      </w:r>
      <w:r w:rsidR="00AE11F7"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فينة، وما جاء عن الص</w:t>
      </w:r>
      <w:r w:rsidR="00AE11F7"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حابة وغيرهم، وجاء أيضًا نحوًا منه عن عطاء في بعض الآثار، وكله على نحوٍ مما ذكرنا.</w:t>
      </w:r>
    </w:p>
    <w:p w14:paraId="5EAAA6A0" w14:textId="10332680"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بقيت المسألة في كيفية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في </w:t>
      </w:r>
      <w:r w:rsidR="00DF7E23" w:rsidRPr="00CE748A">
        <w:rPr>
          <w:rFonts w:ascii="Traditional Arabic" w:hAnsi="Traditional Arabic" w:cs="Traditional Arabic"/>
          <w:sz w:val="34"/>
          <w:szCs w:val="34"/>
          <w:rtl/>
        </w:rPr>
        <w:t>الطَّائرة</w:t>
      </w:r>
      <w:r w:rsidRPr="00CE748A">
        <w:rPr>
          <w:rFonts w:ascii="Traditional Arabic" w:hAnsi="Traditional Arabic" w:cs="Traditional Arabic"/>
          <w:sz w:val="34"/>
          <w:szCs w:val="34"/>
          <w:rtl/>
        </w:rPr>
        <w:t xml:space="preserve"> لمن احتاج إلى ذلك، فقلنا: إنَّ مَن عرضت له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في </w:t>
      </w:r>
      <w:r w:rsidR="00DF7E23" w:rsidRPr="00CE748A">
        <w:rPr>
          <w:rFonts w:ascii="Traditional Arabic" w:hAnsi="Traditional Arabic" w:cs="Traditional Arabic"/>
          <w:sz w:val="34"/>
          <w:szCs w:val="34"/>
          <w:rtl/>
        </w:rPr>
        <w:t>الطَّائرة</w:t>
      </w:r>
      <w:r w:rsidRPr="00CE748A">
        <w:rPr>
          <w:rFonts w:ascii="Traditional Arabic" w:hAnsi="Traditional Arabic" w:cs="Traditional Arabic"/>
          <w:sz w:val="34"/>
          <w:szCs w:val="34"/>
          <w:rtl/>
        </w:rPr>
        <w:t xml:space="preserve"> لا يخلو من أحوال:</w:t>
      </w:r>
    </w:p>
    <w:p w14:paraId="53C74362" w14:textId="7EAE3814"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الحال الأولى: إمَّا أن يُمكنه أن يصل إلى المكان الذي يقصده قبل خروج وقت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فيُؤخِّر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إلى ذلك ما دام أنه لا يُمكنه أن يؤدِّيها بأركانه</w:t>
      </w:r>
      <w:r w:rsidR="00D822DE" w:rsidRPr="00CE748A">
        <w:rPr>
          <w:rFonts w:ascii="Traditional Arabic" w:hAnsi="Traditional Arabic" w:cs="Traditional Arabic" w:hint="cs"/>
          <w:sz w:val="34"/>
          <w:szCs w:val="34"/>
          <w:rtl/>
        </w:rPr>
        <w:t>ا</w:t>
      </w:r>
      <w:r w:rsidRPr="00CE748A">
        <w:rPr>
          <w:rFonts w:ascii="Traditional Arabic" w:hAnsi="Traditional Arabic" w:cs="Traditional Arabic"/>
          <w:sz w:val="34"/>
          <w:szCs w:val="34"/>
          <w:rtl/>
        </w:rPr>
        <w:t xml:space="preserve"> وواجباتها وما يُكمِّلها.</w:t>
      </w:r>
    </w:p>
    <w:p w14:paraId="1E70D8BA" w14:textId="7E822C9F"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الحال الثاني: أن تكون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مما تُجمَع إلى التي بعدها وهو ممَّن يصح له الجمع، فيُؤخر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إلى التي تُجمَع إليها، ثم إذا وصل صلَّى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وما جُمِعَ إليها بعد نزوله مكتملةً بأركانها وواجباتها، وما يكون به تحصيل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w:t>
      </w:r>
      <w:proofErr w:type="spellStart"/>
      <w:r w:rsidRPr="00CE748A">
        <w:rPr>
          <w:rFonts w:ascii="Traditional Arabic" w:hAnsi="Traditional Arabic" w:cs="Traditional Arabic"/>
          <w:sz w:val="34"/>
          <w:szCs w:val="34"/>
          <w:rtl/>
        </w:rPr>
        <w:t>ومستحباتها</w:t>
      </w:r>
      <w:proofErr w:type="spellEnd"/>
      <w:r w:rsidRPr="00CE748A">
        <w:rPr>
          <w:rFonts w:ascii="Traditional Arabic" w:hAnsi="Traditional Arabic" w:cs="Traditional Arabic"/>
          <w:sz w:val="34"/>
          <w:szCs w:val="34"/>
          <w:rtl/>
        </w:rPr>
        <w:t>.</w:t>
      </w:r>
    </w:p>
    <w:p w14:paraId="6A370E0A" w14:textId="1D0DAE8F"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lastRenderedPageBreak/>
        <w:t xml:space="preserve">الحال الثالثة: أن يحتاج إلى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في </w:t>
      </w:r>
      <w:r w:rsidR="00DF7E23" w:rsidRPr="00CE748A">
        <w:rPr>
          <w:rFonts w:ascii="Traditional Arabic" w:hAnsi="Traditional Arabic" w:cs="Traditional Arabic"/>
          <w:sz w:val="34"/>
          <w:szCs w:val="34"/>
          <w:rtl/>
        </w:rPr>
        <w:t>الطَّائرة</w:t>
      </w:r>
      <w:r w:rsidRPr="00CE748A">
        <w:rPr>
          <w:rFonts w:ascii="Traditional Arabic" w:hAnsi="Traditional Arabic" w:cs="Traditional Arabic"/>
          <w:sz w:val="34"/>
          <w:szCs w:val="34"/>
          <w:rtl/>
        </w:rPr>
        <w:t xml:space="preserve"> لكون الوقت يخرج قبل وصوله أو ما يُجمَع إليها، ومع كونه لا يُمكنه أداء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على الوجه الأتم، كأن يمنعوه من أن يقوم في مقام يحتاجونه في خدمة، أو لئلا يمنع مرور الناس، وما قد يعرض هم من حوائج ونحوها، أو لحركة في </w:t>
      </w:r>
      <w:r w:rsidR="00DF7E23" w:rsidRPr="00CE748A">
        <w:rPr>
          <w:rFonts w:ascii="Traditional Arabic" w:hAnsi="Traditional Arabic" w:cs="Traditional Arabic"/>
          <w:sz w:val="34"/>
          <w:szCs w:val="34"/>
          <w:rtl/>
        </w:rPr>
        <w:t>الطَّائرة</w:t>
      </w:r>
      <w:r w:rsidRPr="00CE748A">
        <w:rPr>
          <w:rFonts w:ascii="Traditional Arabic" w:hAnsi="Traditional Arabic" w:cs="Traditional Arabic"/>
          <w:sz w:val="34"/>
          <w:szCs w:val="34"/>
          <w:rtl/>
        </w:rPr>
        <w:t xml:space="preserve"> غير مستقرة يخافون على الناس أن يُضر بهم القيام والحركة ونحو ذلك؛ ففي هذه الحال نقول: الواجب عليه أن يؤدي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بحسب ما يقدر عليه ويستجمع ما أمكنه </w:t>
      </w:r>
      <w:proofErr w:type="spellStart"/>
      <w:r w:rsidRPr="00CE748A">
        <w:rPr>
          <w:rFonts w:ascii="Traditional Arabic" w:hAnsi="Traditional Arabic" w:cs="Traditional Arabic"/>
          <w:sz w:val="34"/>
          <w:szCs w:val="34"/>
          <w:rtl/>
        </w:rPr>
        <w:t>استجماعه</w:t>
      </w:r>
      <w:proofErr w:type="spellEnd"/>
      <w:r w:rsidRPr="00CE748A">
        <w:rPr>
          <w:rFonts w:ascii="Traditional Arabic" w:hAnsi="Traditional Arabic" w:cs="Traditional Arabic"/>
          <w:sz w:val="34"/>
          <w:szCs w:val="34"/>
          <w:rtl/>
        </w:rPr>
        <w:t xml:space="preserve"> من الأركان والواجبات.</w:t>
      </w:r>
    </w:p>
    <w:p w14:paraId="5D2297DB" w14:textId="2C6379EE"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وكما قلتُ لكم في مثل هذه الحال: </w:t>
      </w:r>
      <w:r w:rsidR="00D822DE" w:rsidRPr="00CE748A">
        <w:rPr>
          <w:rFonts w:ascii="Traditional Arabic" w:hAnsi="Traditional Arabic" w:cs="Traditional Arabic" w:hint="cs"/>
          <w:sz w:val="34"/>
          <w:szCs w:val="34"/>
          <w:rtl/>
        </w:rPr>
        <w:t>إ</w:t>
      </w:r>
      <w:r w:rsidRPr="00CE748A">
        <w:rPr>
          <w:rFonts w:ascii="Traditional Arabic" w:hAnsi="Traditional Arabic" w:cs="Traditional Arabic"/>
          <w:sz w:val="34"/>
          <w:szCs w:val="34"/>
          <w:rtl/>
        </w:rPr>
        <w:t xml:space="preserve">ن كثيرًا من الناس لا يفقه ذلك، يظن أنه بمجرد أنه لا يمكنه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في مكان واسع أنه يصلي وهو جالس!</w:t>
      </w:r>
    </w:p>
    <w:p w14:paraId="1328A0ED" w14:textId="204C10C5"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نقول: إنه يستجمع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بقدرِ ما يقدر عليه من الأركان والواجبات.</w:t>
      </w:r>
    </w:p>
    <w:p w14:paraId="18B25AF3" w14:textId="51B9D665"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على سبيل المثال: إذا كان لم يُسمَح له ب</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في مكان واسع، فاحتاج أن يصلي في كرسيِّه، فإذا صلى في كرسي</w:t>
      </w:r>
      <w:r w:rsidR="001B623A"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ه فلا يمتنع عليه أن يتَّجه إلى القبلة، فإذا كانت القبلة عن يساره قامَ وهو في مكان كرسيه والتفت يسارًا بكليَّته حتى يكون مستقبل القبلة.</w:t>
      </w:r>
    </w:p>
    <w:p w14:paraId="0D57CE42" w14:textId="06D210DE"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أيضًا القيام في كثيرٍ من الأحوال، إذا لم تكن </w:t>
      </w:r>
      <w:r w:rsidR="00DF7E23" w:rsidRPr="00CE748A">
        <w:rPr>
          <w:rFonts w:ascii="Traditional Arabic" w:hAnsi="Traditional Arabic" w:cs="Traditional Arabic"/>
          <w:sz w:val="34"/>
          <w:szCs w:val="34"/>
          <w:rtl/>
        </w:rPr>
        <w:t>الطَّائرة</w:t>
      </w:r>
      <w:r w:rsidRPr="00CE748A">
        <w:rPr>
          <w:rFonts w:ascii="Traditional Arabic" w:hAnsi="Traditional Arabic" w:cs="Traditional Arabic"/>
          <w:sz w:val="34"/>
          <w:szCs w:val="34"/>
          <w:rtl/>
        </w:rPr>
        <w:t xml:space="preserve"> مرتجَّة و</w:t>
      </w:r>
      <w:r w:rsidR="001B623A" w:rsidRPr="00CE748A">
        <w:rPr>
          <w:rFonts w:ascii="Traditional Arabic" w:hAnsi="Traditional Arabic" w:cs="Traditional Arabic" w:hint="cs"/>
          <w:sz w:val="34"/>
          <w:szCs w:val="34"/>
          <w:rtl/>
        </w:rPr>
        <w:t>أُ</w:t>
      </w:r>
      <w:r w:rsidRPr="00CE748A">
        <w:rPr>
          <w:rFonts w:ascii="Traditional Arabic" w:hAnsi="Traditional Arabic" w:cs="Traditional Arabic"/>
          <w:sz w:val="34"/>
          <w:szCs w:val="34"/>
          <w:rtl/>
        </w:rPr>
        <w:t xml:space="preserve">مرَ بربط الأحزمة ونحو ذلك؛ فإنه يُمكنه القيام، سواء كانت القبلة إلى وجهته التي يستقبلها، أو استدار بكليَّته، وصار ظهره إلى مقدمة </w:t>
      </w:r>
      <w:r w:rsidR="00DF7E23" w:rsidRPr="00CE748A">
        <w:rPr>
          <w:rFonts w:ascii="Traditional Arabic" w:hAnsi="Traditional Arabic" w:cs="Traditional Arabic"/>
          <w:sz w:val="34"/>
          <w:szCs w:val="34"/>
          <w:rtl/>
        </w:rPr>
        <w:t>الطَّائرة</w:t>
      </w:r>
      <w:r w:rsidRPr="00CE748A">
        <w:rPr>
          <w:rFonts w:ascii="Traditional Arabic" w:hAnsi="Traditional Arabic" w:cs="Traditional Arabic"/>
          <w:sz w:val="34"/>
          <w:szCs w:val="34"/>
          <w:rtl/>
        </w:rPr>
        <w:t xml:space="preserve"> ووجهه إلى الوراء فصلى قائمًا، أيضًا الركوع ممكنه في مثل هذه الحال، ولكن الذي يتعذر عليه هو السجود، فإذا أمكنه أن يميل قليلًا ثم يسجد في الممرِّ ثم إذا قام رجع إلى المكان الذي هو فيه؛ فعلَ لكون حال السجود حال قليلة جدًّا، وقد لا يكون فيها منع للناس أو إضرارٌ بهم.</w:t>
      </w:r>
    </w:p>
    <w:p w14:paraId="7C90735E"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أما إذا كان لا يمكنه فنقول في مثل هذه الحال: يُومئ بالسجود في المكان الذي هو فيه.</w:t>
      </w:r>
    </w:p>
    <w:p w14:paraId="4CA6E298" w14:textId="4A5E98CE"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إذًا؛ نلحظُ في مثل هذا</w:t>
      </w:r>
      <w:r w:rsidRPr="00CE748A">
        <w:rPr>
          <w:rFonts w:ascii="Traditional Arabic" w:hAnsi="Traditional Arabic" w:cs="Traditional Arabic" w:hint="cs"/>
          <w:sz w:val="34"/>
          <w:szCs w:val="34"/>
          <w:rtl/>
        </w:rPr>
        <w:t xml:space="preserve"> </w:t>
      </w:r>
      <w:r w:rsidRPr="00CE748A">
        <w:rPr>
          <w:rFonts w:ascii="Traditional Arabic" w:hAnsi="Traditional Arabic" w:cs="Traditional Arabic"/>
          <w:sz w:val="34"/>
          <w:szCs w:val="34"/>
          <w:rtl/>
        </w:rPr>
        <w:t>أنه يصلي حسب حاله، ولكن كثير من الناس يظن أن حسب حاله أن يصلي وهو جالس فيقول: الله أكبر، ثم يُومئ بالركوع والسجود!</w:t>
      </w:r>
    </w:p>
    <w:p w14:paraId="394FCE64"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نقول: هذا خلل!</w:t>
      </w:r>
    </w:p>
    <w:p w14:paraId="45AD9EC1"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أولًا: فاتك الاستقبال وقد كان ممكنًا لك.</w:t>
      </w:r>
    </w:p>
    <w:p w14:paraId="30B03672"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ثانيًا: فاتكَ القيامُ وهو ممكنٌ لك.</w:t>
      </w:r>
    </w:p>
    <w:p w14:paraId="73256F34"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ثالثًا: فاتك الركوع: وهو ممكن لك في كثير من الأحوال.</w:t>
      </w:r>
    </w:p>
    <w:p w14:paraId="7E281C24" w14:textId="543CA4AE"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lastRenderedPageBreak/>
        <w:t xml:space="preserve">والله -جَلَّ وَعَلَا- يقول: </w:t>
      </w:r>
      <w:r w:rsidR="00AA5071" w:rsidRPr="00CE748A">
        <w:rPr>
          <w:rFonts w:ascii="Traditional Arabic" w:hAnsi="Traditional Arabic" w:cs="Traditional Arabic"/>
          <w:color w:val="FF0000"/>
          <w:sz w:val="34"/>
          <w:szCs w:val="34"/>
          <w:rtl/>
        </w:rPr>
        <w:t>﴿فَاتَّقُوا اللَّهَ مَا اسْتَطَعْتُمْ﴾</w:t>
      </w:r>
      <w:r w:rsidRPr="00CE748A">
        <w:rPr>
          <w:rFonts w:ascii="Traditional Arabic" w:hAnsi="Traditional Arabic" w:cs="Traditional Arabic"/>
          <w:sz w:val="34"/>
          <w:szCs w:val="34"/>
          <w:rtl/>
        </w:rPr>
        <w:t xml:space="preserve"> </w:t>
      </w:r>
      <w:r w:rsidRPr="00CE748A">
        <w:rPr>
          <w:rFonts w:ascii="Traditional Arabic" w:hAnsi="Traditional Arabic" w:cs="Traditional Arabic"/>
          <w:rtl/>
        </w:rPr>
        <w:t>[التغابن</w:t>
      </w:r>
      <w:r w:rsidR="009659AC" w:rsidRPr="00CE748A">
        <w:rPr>
          <w:rFonts w:ascii="Traditional Arabic" w:hAnsi="Traditional Arabic" w:cs="Traditional Arabic"/>
          <w:rtl/>
        </w:rPr>
        <w:t xml:space="preserve">: </w:t>
      </w:r>
      <w:r w:rsidRPr="00CE748A">
        <w:rPr>
          <w:rFonts w:ascii="Traditional Arabic" w:hAnsi="Traditional Arabic" w:cs="Traditional Arabic"/>
          <w:rtl/>
        </w:rPr>
        <w:t>16]</w:t>
      </w:r>
      <w:r w:rsidRPr="00CE748A">
        <w:rPr>
          <w:rFonts w:ascii="Traditional Arabic" w:hAnsi="Traditional Arabic" w:cs="Traditional Arabic"/>
          <w:sz w:val="34"/>
          <w:szCs w:val="34"/>
          <w:rtl/>
        </w:rPr>
        <w:t>، فلا يسقط شيئًا من هذه الأركان إلا حيث لم يتمكَّن الإنسان.</w:t>
      </w:r>
    </w:p>
    <w:p w14:paraId="63CC93D3" w14:textId="0505F668"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وبناءً على ذلك نقول: ما دام أنه يُمكنك القيام في كرسيِّكَ تقوم، وإذا أمكنكَ الركوع ركعتَ، وإذا أمكنكَ السجودُ سجدتَّ، وإذا أمكنك الاستقبال استقبلتَ، ثم إذا تعذَّرَ عليكَ شيءٌ من ذلك صحَّت صلاتُكَ بما أمكنك، وأومأتَ فيما تعذَّر، لقول الله -جَلَّ وَعَلَا: </w:t>
      </w:r>
      <w:r w:rsidR="00AA5071" w:rsidRPr="00CE748A">
        <w:rPr>
          <w:rFonts w:ascii="Traditional Arabic" w:hAnsi="Traditional Arabic" w:cs="Traditional Arabic"/>
          <w:color w:val="FF0000"/>
          <w:sz w:val="34"/>
          <w:szCs w:val="34"/>
          <w:rtl/>
        </w:rPr>
        <w:t>﴿فَاتَّقُوا اللَّهَ مَا اسْتَطَعْتُمْ﴾</w:t>
      </w:r>
      <w:r w:rsidRPr="00CE748A">
        <w:rPr>
          <w:rFonts w:ascii="Traditional Arabic" w:hAnsi="Traditional Arabic" w:cs="Traditional Arabic"/>
          <w:sz w:val="34"/>
          <w:szCs w:val="34"/>
          <w:rtl/>
        </w:rPr>
        <w:t>.</w:t>
      </w:r>
    </w:p>
    <w:p w14:paraId="3A500482"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وفي بعض الأحوال تكون المسألة مركبةٌ من الحالين، فيكون ممكنٌ له القيام وليس بممكن.</w:t>
      </w:r>
    </w:p>
    <w:p w14:paraId="2AC9B68F" w14:textId="2B2A2FBF"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على سبيل المثال: إذا أُمرَ بربط الأحزمة لكون </w:t>
      </w:r>
      <w:r w:rsidR="00DF7E23" w:rsidRPr="00CE748A">
        <w:rPr>
          <w:rFonts w:ascii="Traditional Arabic" w:hAnsi="Traditional Arabic" w:cs="Traditional Arabic"/>
          <w:sz w:val="34"/>
          <w:szCs w:val="34"/>
          <w:rtl/>
        </w:rPr>
        <w:t>الطَّائرة</w:t>
      </w:r>
      <w:r w:rsidRPr="00CE748A">
        <w:rPr>
          <w:rFonts w:ascii="Traditional Arabic" w:hAnsi="Traditional Arabic" w:cs="Traditional Arabic"/>
          <w:sz w:val="34"/>
          <w:szCs w:val="34"/>
          <w:rtl/>
        </w:rPr>
        <w:t xml:space="preserve"> في حال ارتجاج، فهو الآن سيصلي جالسًا، في أثناء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أذاع قائد </w:t>
      </w:r>
      <w:r w:rsidR="00DF7E23" w:rsidRPr="00CE748A">
        <w:rPr>
          <w:rFonts w:ascii="Traditional Arabic" w:hAnsi="Traditional Arabic" w:cs="Traditional Arabic"/>
          <w:sz w:val="34"/>
          <w:szCs w:val="34"/>
          <w:rtl/>
        </w:rPr>
        <w:t>الطَّائرة</w:t>
      </w:r>
      <w:r w:rsidRPr="00CE748A">
        <w:rPr>
          <w:rFonts w:ascii="Traditional Arabic" w:hAnsi="Traditional Arabic" w:cs="Traditional Arabic"/>
          <w:sz w:val="34"/>
          <w:szCs w:val="34"/>
          <w:rtl/>
        </w:rPr>
        <w:t xml:space="preserve"> أنه أُذِنَ بفتح الأحزمة، فيفتح حزامه ويقوم، فإذا كانت القبلة وجهته توجَّه إليها، إذا كانت يسارًا استدارَ إليها، وصلى بحسب ذلك وركع.</w:t>
      </w:r>
    </w:p>
    <w:p w14:paraId="71AC708B" w14:textId="32566226" w:rsidR="001B623A" w:rsidRPr="00CE748A" w:rsidRDefault="008212C2" w:rsidP="00CE748A">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إذًا؛ هذه الحال حالٌ مركبةٌ من الحالين، بعض الأركان أمكنه فعلها في بعض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وبعضها لم يُمكنه، فبناء على ذلك يتكيَّف الإنسان بحسب ما قدر عليه في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كلها وفي بعضها لعموم قول الله -جَلَّ وَعَلَا: </w:t>
      </w:r>
      <w:r w:rsidR="00AA5071" w:rsidRPr="00CE748A">
        <w:rPr>
          <w:rFonts w:ascii="Traditional Arabic" w:hAnsi="Traditional Arabic" w:cs="Traditional Arabic"/>
          <w:color w:val="FF0000"/>
          <w:sz w:val="34"/>
          <w:szCs w:val="34"/>
          <w:rtl/>
        </w:rPr>
        <w:t>﴿فَاتَّقُوا اللَّهَ مَا اسْتَطَعْتُمْ﴾</w:t>
      </w:r>
      <w:r w:rsidRPr="00CE748A">
        <w:rPr>
          <w:rFonts w:ascii="Traditional Arabic" w:hAnsi="Traditional Arabic" w:cs="Traditional Arabic"/>
          <w:sz w:val="34"/>
          <w:szCs w:val="34"/>
          <w:rtl/>
        </w:rPr>
        <w:t>.</w:t>
      </w:r>
    </w:p>
    <w:p w14:paraId="5A73CD3A" w14:textId="347C6916"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وينبغي للإنسان أن يعلم أن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أعظم شعائر الدين، وأنه أعظم ما يكون من الأعمال، ولذلك إذا صلُحَت صلُحَ سائرُ عمله، فلا ينبغي له أن يتهاون بها فيؤخرها عن وقتها، ولا يجوز له أن يؤديها منقوصة من أركانها وهو قادرٌ على إتمامها، ولا يُخل بها شيئًا أمره الله به وأمره به رسوله -صَلَّى اللَّهُ عَلَيْهِ وَسَلَّمَ- وهو يُمكنه أن يفعله، ويجب على المرء أن يجتهد في ذلك وسعه، حتى تبرأ ذمته، ويؤدي ما أمره الله به على أكمل وجهٍ وأتمِّهِ.</w:t>
      </w:r>
    </w:p>
    <w:p w14:paraId="27950EDA" w14:textId="3C975FD1"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هذا ما يتعلق بصلاة </w:t>
      </w:r>
      <w:r w:rsidR="00DF7E23" w:rsidRPr="00CE748A">
        <w:rPr>
          <w:rFonts w:ascii="Traditional Arabic" w:hAnsi="Traditional Arabic" w:cs="Traditional Arabic"/>
          <w:sz w:val="34"/>
          <w:szCs w:val="34"/>
          <w:rtl/>
        </w:rPr>
        <w:t>الطَّائرة</w:t>
      </w:r>
      <w:r w:rsidRPr="00CE748A">
        <w:rPr>
          <w:rFonts w:ascii="Traditional Arabic" w:hAnsi="Traditional Arabic" w:cs="Traditional Arabic"/>
          <w:sz w:val="34"/>
          <w:szCs w:val="34"/>
          <w:rtl/>
        </w:rPr>
        <w:t xml:space="preserve">، وأنا أؤكِّد أنَّ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محدودةٌ بأوقاتها، ولا يجوز كما يفعل كثير من الناس أن يؤخِّروها حتى يصلوا إلى بيوتاتهم فيجمع صلاةً وصلاتين وثلاثًا و</w:t>
      </w:r>
      <w:r w:rsidR="00D4503E" w:rsidRPr="00CE748A">
        <w:rPr>
          <w:rFonts w:ascii="Traditional Arabic" w:hAnsi="Traditional Arabic" w:cs="Traditional Arabic" w:hint="cs"/>
          <w:sz w:val="34"/>
          <w:szCs w:val="34"/>
          <w:rtl/>
        </w:rPr>
        <w:t>أ</w:t>
      </w:r>
      <w:r w:rsidRPr="00CE748A">
        <w:rPr>
          <w:rFonts w:ascii="Traditional Arabic" w:hAnsi="Traditional Arabic" w:cs="Traditional Arabic"/>
          <w:sz w:val="34"/>
          <w:szCs w:val="34"/>
          <w:rtl/>
        </w:rPr>
        <w:t>ربعًا، ولا يجوز لهم أن ينقصوها فيؤدوها بأسهل ما يكون وهم جالسين مع كونهم يُمكنهم القيام، ويُمكنهم أداؤها بكامل الأركان، أو أداء بعض أركانها، فيجب عليهم أن يجتهدوا ما استطاعوا، وان يبذلوا قدرتهم ما قدروا، والله -جَلَّ وَعَلَا- يتولَّاهم بالتوفيق والأجر والثواب، إنَّ ربَّنا جوادٌ كريمٌ.</w:t>
      </w:r>
    </w:p>
    <w:p w14:paraId="1C678070" w14:textId="66EE4FFA"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هذا ما يتعلق ب</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في </w:t>
      </w:r>
      <w:r w:rsidR="00DF7E23" w:rsidRPr="00CE748A">
        <w:rPr>
          <w:rFonts w:ascii="Traditional Arabic" w:hAnsi="Traditional Arabic" w:cs="Traditional Arabic"/>
          <w:sz w:val="34"/>
          <w:szCs w:val="34"/>
          <w:rtl/>
        </w:rPr>
        <w:t>الطَّائرة</w:t>
      </w:r>
      <w:r w:rsidRPr="00CE748A">
        <w:rPr>
          <w:rFonts w:ascii="Traditional Arabic" w:hAnsi="Traditional Arabic" w:cs="Traditional Arabic"/>
          <w:sz w:val="34"/>
          <w:szCs w:val="34"/>
          <w:rtl/>
        </w:rPr>
        <w:t>، ومحل الكلام -كما قلنا- هو صلاة الفريضة، أما صلاة النافلة فالأمر فيها في سَعةٍ بالمرَّة.</w:t>
      </w:r>
    </w:p>
    <w:p w14:paraId="49B707DA" w14:textId="05F7B8F8"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lastRenderedPageBreak/>
        <w:t xml:space="preserve">ربَّما أشيرُ إلى مسألة، وهي عندي في محل تردد! وهو أن يكون الإنسان في </w:t>
      </w:r>
      <w:r w:rsidR="00DF7E23" w:rsidRPr="00CE748A">
        <w:rPr>
          <w:rFonts w:ascii="Traditional Arabic" w:hAnsi="Traditional Arabic" w:cs="Traditional Arabic"/>
          <w:sz w:val="34"/>
          <w:szCs w:val="34"/>
          <w:rtl/>
        </w:rPr>
        <w:t>الطَّائرة</w:t>
      </w:r>
      <w:r w:rsidRPr="00CE748A">
        <w:rPr>
          <w:rFonts w:ascii="Traditional Arabic" w:hAnsi="Traditional Arabic" w:cs="Traditional Arabic"/>
          <w:sz w:val="34"/>
          <w:szCs w:val="34"/>
          <w:rtl/>
        </w:rPr>
        <w:t xml:space="preserve"> وهو ممَّن لا يُمكنه جمع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وهذا قليل جدًّا، ولكنه ممكن في طلعات تدريبيَّة في نفس المدينة، نصف ساعة أو ساعة، فهو لم يخرج من المدينة، ولم يقطع المسافة التي يُحكَمُ فيها بالسفر، أو طيران المتعة، أيضًا طيران</w:t>
      </w:r>
      <w:r w:rsidR="00AA5071" w:rsidRPr="00CE748A">
        <w:rPr>
          <w:rFonts w:ascii="Traditional Arabic" w:hAnsi="Traditional Arabic" w:cs="Traditional Arabic"/>
          <w:sz w:val="34"/>
          <w:szCs w:val="34"/>
          <w:rtl/>
        </w:rPr>
        <w:t xml:space="preserve"> الهليكوبت</w:t>
      </w:r>
      <w:r w:rsidRPr="00CE748A">
        <w:rPr>
          <w:rFonts w:ascii="Traditional Arabic" w:hAnsi="Traditional Arabic" w:cs="Traditional Arabic"/>
          <w:sz w:val="34"/>
          <w:szCs w:val="34"/>
          <w:rtl/>
        </w:rPr>
        <w:t xml:space="preserve">ر في المهمَّات التي قد ينتقلون فيها من مكانٍ إلى مكان، أو غير ذلك من الدواعي؛ فهل يجوز له أن يجمع لمجرد أنه لا يُمكنه أداء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بأركانها أو لا؟</w:t>
      </w:r>
    </w:p>
    <w:p w14:paraId="0DB514C2" w14:textId="5E7A6B22"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هذه المسألة محل بحثٍ ونظر، فيُمكن أن يُقال</w:t>
      </w:r>
      <w:r w:rsidR="00D822DE"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 xml:space="preserve"> </w:t>
      </w:r>
      <w:r w:rsidR="00D822DE" w:rsidRPr="00CE748A">
        <w:rPr>
          <w:rFonts w:ascii="Traditional Arabic" w:hAnsi="Traditional Arabic" w:cs="Traditional Arabic" w:hint="cs"/>
          <w:sz w:val="34"/>
          <w:szCs w:val="34"/>
          <w:rtl/>
        </w:rPr>
        <w:t>إ</w:t>
      </w:r>
      <w:r w:rsidRPr="00CE748A">
        <w:rPr>
          <w:rFonts w:ascii="Traditional Arabic" w:hAnsi="Traditional Arabic" w:cs="Traditional Arabic"/>
          <w:sz w:val="34"/>
          <w:szCs w:val="34"/>
          <w:rtl/>
        </w:rPr>
        <w:t xml:space="preserve">نه يؤدِّي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في وقتها لكونه ليس من أهل السفر الذين يجمعون، ويُمكن أن يُقال</w:t>
      </w:r>
      <w:r w:rsidR="00D822DE"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 xml:space="preserve"> إن الجمع في مثل هذه الحال وهو وإن لم يكن مسافرًا فهو ممن شمله حديث ابن عباس "أن النبي -صَلَّى اللَّهُ عَلَيْهِ وَسَلَّمَ- جمع بين الظهر والعصر، والمغرب والعشاء؛ من غير سفر ولا مرض"، أو "من غير سفر ولا مطر" كما في حديث مسلم، فقيل: ما أراد يا ابن عباس؟ قال: "أراد ألَّا يُحرِّجَ أمَّته"، فبعض أهل العلم -خاصَّة الحنابلة رحمهم الله تعالى- وسَّعوا في باب الجمع لِمَا يعرضُ للإنسان من الحاجات، كالمريض، ومَن خاف تلف ماله كالخبَّاز ونحوه، فقد يكون ذلك منه، وهو محلُّ بحثٍ، وطرحته لزيادة البحث، لأنَّني ذكرتُ كلمة قلتها وهي: (ممن يُمكن له الجمع)، فقد </w:t>
      </w:r>
      <w:proofErr w:type="spellStart"/>
      <w:r w:rsidRPr="00CE748A">
        <w:rPr>
          <w:rFonts w:ascii="Traditional Arabic" w:hAnsi="Traditional Arabic" w:cs="Traditional Arabic"/>
          <w:sz w:val="34"/>
          <w:szCs w:val="34"/>
          <w:rtl/>
        </w:rPr>
        <w:t>يستشكلها</w:t>
      </w:r>
      <w:proofErr w:type="spellEnd"/>
      <w:r w:rsidRPr="00CE748A">
        <w:rPr>
          <w:rFonts w:ascii="Traditional Arabic" w:hAnsi="Traditional Arabic" w:cs="Traditional Arabic"/>
          <w:sz w:val="34"/>
          <w:szCs w:val="34"/>
          <w:rtl/>
        </w:rPr>
        <w:t xml:space="preserve"> بعض الطلاب، فأردتُّ أن أُبيِّن ما الذي يخرج من هذه المسألة، وهي ما ذكرناه الآن.</w:t>
      </w:r>
    </w:p>
    <w:p w14:paraId="76EA12CA"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بعد ذلك نأتي إلى مسألة وهي ليست من النوازل، وليست من العوارض؛ لكنَّها مما تكثر الحاجة إليها، وهي: حكم خطبة الجمعة بغير اللغة العربية.</w:t>
      </w:r>
    </w:p>
    <w:p w14:paraId="0CDFD80E" w14:textId="2D72DA02"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النبي -صَلَّى اللَّهُ عَلَيْهِ وَسَلَّمَ- خطبَ بلغةٍ عربيَّةٍ فصيحةٍ، فأسمعَ الناس ووعظهم كما دلَّت على ذلك الأحاديث، وجاءت به السنن، فهذا هو فعل النبي -صَلَّى اللَّهُ عَلَيْهِ وَسَلَّمَ-، فمن فعل ذلك فقد تمَّت صلاته، وصحَّت جمعته، وأدَّاها على الوجه الأكمل الأتمِّ.</w:t>
      </w:r>
    </w:p>
    <w:p w14:paraId="0270508E"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لكن مَن لم يعرف العربيَّة، أو مَن كان معه أناسٌ لا يُحسنون العربيَّة؛ فالأمر دائرٌ بين أمرين:</w:t>
      </w:r>
    </w:p>
    <w:p w14:paraId="29CF054B" w14:textId="02C9BD34"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 بين أن يخطبهم خطبةً تصحُّ معها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ولا يحصل معها الوعظ والتذكير الذي هو مقصود الجمعة.</w:t>
      </w:r>
    </w:p>
    <w:p w14:paraId="060AE073" w14:textId="7F0C0E1E"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وإمَّا أن يؤدِّي الخطبة بلغتهم، فيحصل بذلك وعظهم وتذكيرهم والخير لهم فيما تشتمل عليه الخطبة من قول الله -جَلَّ وَعَلَا- وقول رسوله -صَلَّى اللَّهُ عَلَيْهِ وَسَلَّمَ-، ولكنه يفوته اللغة العربية.</w:t>
      </w:r>
    </w:p>
    <w:p w14:paraId="6A5149DB" w14:textId="5D9972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lastRenderedPageBreak/>
        <w:t xml:space="preserve">لقائل </w:t>
      </w:r>
      <w:proofErr w:type="gramStart"/>
      <w:r w:rsidRPr="00CE748A">
        <w:rPr>
          <w:rFonts w:ascii="Traditional Arabic" w:hAnsi="Traditional Arabic" w:cs="Traditional Arabic"/>
          <w:sz w:val="34"/>
          <w:szCs w:val="34"/>
          <w:rtl/>
        </w:rPr>
        <w:t>أن</w:t>
      </w:r>
      <w:proofErr w:type="gramEnd"/>
      <w:r w:rsidRPr="00CE748A">
        <w:rPr>
          <w:rFonts w:ascii="Traditional Arabic" w:hAnsi="Traditional Arabic" w:cs="Traditional Arabic"/>
          <w:sz w:val="34"/>
          <w:szCs w:val="34"/>
          <w:rtl/>
        </w:rPr>
        <w:t xml:space="preserve"> يقول: هل أنتم تعظِّمون اللغة العربيَّة؟ وهل لها خصوصيَّة؟ ولماذا مث</w:t>
      </w:r>
      <w:r w:rsidR="00AA5071" w:rsidRPr="00CE748A">
        <w:rPr>
          <w:rFonts w:ascii="Traditional Arabic" w:hAnsi="Traditional Arabic" w:cs="Traditional Arabic" w:hint="cs"/>
          <w:sz w:val="34"/>
          <w:szCs w:val="34"/>
          <w:rtl/>
        </w:rPr>
        <w:t>ل</w:t>
      </w:r>
      <w:r w:rsidRPr="00CE748A">
        <w:rPr>
          <w:rFonts w:ascii="Traditional Arabic" w:hAnsi="Traditional Arabic" w:cs="Traditional Arabic"/>
          <w:sz w:val="34"/>
          <w:szCs w:val="34"/>
          <w:rtl/>
        </w:rPr>
        <w:t xml:space="preserve"> هذه المسألة؟ ولماذا مثل هذا الكلام والمقصود أن يتَّعظَ الناس، وأن يتزَّودوا من الخير ومن العلم، ومن الهدى والسنن؛ فبأيِّ شيءٍ كان حصل ذلك؟</w:t>
      </w:r>
    </w:p>
    <w:p w14:paraId="4B8B4B99" w14:textId="229ED6C3"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نقول: محل الكلام في هذه المسألة من جهةِ أنَّ جمعًا من أهل العلم قالوا إنَّ الخطبةَ من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فلذلك جاء عن عائشة أن "الخطبة عِوضٌ عن ركعتي الظهر التي هي أربع"، فجُعلت الجمعة ركعتين.</w:t>
      </w:r>
    </w:p>
    <w:p w14:paraId="39DFFBC8" w14:textId="50A7E4BC"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إذًا؛ لمَّا كانت مبناها على العبادة، والعبادات عند الفقهاء على التوقيف؛ جرى الخلاف، فهذه العبادة التي جرت في زمن النبي -صَلَّى اللَّهُ عَلَيْهِ وَسَلَّمَ- جرت باللغة العربيَّة، فكما أن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لا تصح إلا بقراءة الفاتحة والتسبيح -لمن قدر عليه- والتكبيرات على اللغة العربيَّة لكونها عبادة ومبناها على التوقيف، فكذلك الخطبة، فهذا هو محل الخلاف.</w:t>
      </w:r>
    </w:p>
    <w:p w14:paraId="60CB0145" w14:textId="3F713116"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فنقول بناءً على هذا: مَن كان لا يقدر ولا يُحسن العربيَّة، فالله -جَلَّ وَعَلَا- قال: </w:t>
      </w:r>
      <w:r w:rsidR="00AA5071" w:rsidRPr="00CE748A">
        <w:rPr>
          <w:rFonts w:ascii="Traditional Arabic" w:hAnsi="Traditional Arabic" w:cs="Traditional Arabic"/>
          <w:color w:val="FF0000"/>
          <w:sz w:val="34"/>
          <w:szCs w:val="34"/>
          <w:rtl/>
        </w:rPr>
        <w:t>﴿فَاتَّقُوا اللَّهَ مَا اسْتَطَعْتُمْ﴾</w:t>
      </w:r>
      <w:r w:rsidRPr="00CE748A">
        <w:rPr>
          <w:rFonts w:ascii="Traditional Arabic" w:hAnsi="Traditional Arabic" w:cs="Traditional Arabic"/>
          <w:sz w:val="34"/>
          <w:szCs w:val="34"/>
          <w:rtl/>
        </w:rPr>
        <w:t xml:space="preserve"> </w:t>
      </w:r>
      <w:r w:rsidRPr="00CE748A">
        <w:rPr>
          <w:rFonts w:ascii="Traditional Arabic" w:hAnsi="Traditional Arabic" w:cs="Traditional Arabic"/>
          <w:rtl/>
        </w:rPr>
        <w:t>[التغابن</w:t>
      </w:r>
      <w:r w:rsidR="009659AC" w:rsidRPr="00CE748A">
        <w:rPr>
          <w:rFonts w:ascii="Traditional Arabic" w:hAnsi="Traditional Arabic" w:cs="Traditional Arabic"/>
          <w:rtl/>
        </w:rPr>
        <w:t xml:space="preserve">: </w:t>
      </w:r>
      <w:r w:rsidRPr="00CE748A">
        <w:rPr>
          <w:rFonts w:ascii="Traditional Arabic" w:hAnsi="Traditional Arabic" w:cs="Traditional Arabic"/>
          <w:rtl/>
        </w:rPr>
        <w:t>16]</w:t>
      </w:r>
      <w:r w:rsidRPr="00CE748A">
        <w:rPr>
          <w:rFonts w:ascii="Traditional Arabic" w:hAnsi="Traditional Arabic" w:cs="Traditional Arabic"/>
          <w:sz w:val="34"/>
          <w:szCs w:val="34"/>
          <w:rtl/>
        </w:rPr>
        <w:t>، فكيفما تحصَّلت الخطبة بأي لغة كانت، سواء بالإنجليزية أو بالفرنسية أو الفيتنامية أو سواها من سائر لغات العالم ولهجاتهم؛ كان ذلك محصِّلًا للمقصود، ومتَّقيًا لله ما استطاع، وتبرأ الذِّمَّة -ولله الحمد.</w:t>
      </w:r>
    </w:p>
    <w:p w14:paraId="66FC9732"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أما مَن كان يُحسن العربيَّة لكن الأمر دائرٌ بين إفهام الناس وبين أدائها باللغة التي أدَّى بها النبي -صَلَّى اللَّهُ عَلَيْهِ وَسَلَّمَ-؛ فالجمهور من الفقهاء على أنها لابد أن تكون بالعربيَّة، للتعبُّد بذلك ونحوه.</w:t>
      </w:r>
    </w:p>
    <w:p w14:paraId="03413EEC" w14:textId="4A1527D1"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أما الحنفية وهو قول لبعض المحققين، وفتوى لمشايخنا كالشيخ ابن باز: أنَّ المقصود من الخطبة هو الوعظ والتذكير والتعليم، فبأي لغةٍ كانت حصل المقصود.</w:t>
      </w:r>
    </w:p>
    <w:p w14:paraId="79178A78" w14:textId="717C53F9"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على كل حال نقول: مَن استطاع أداؤها باللغة العربي فيؤديها بها، ويُمكن أن يكون ذلك مقتصرًا على ما تقوم به الخطبة من الآية والحديث، والشروط الأربعة و</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على النبي -صَلَّى اللَّهُ عَلَيْهِ وَسَلَّمَ- ووعظ الناس، ثم بعد ذلك يعظهم بلغتهم.</w:t>
      </w:r>
    </w:p>
    <w:p w14:paraId="17281A48" w14:textId="64977E6E"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وإذا قيَّدَ ذلك مَن قيَّده اتِّباعًا لمذهب جمهور العلماء، فيحسنُ أن يكون بين الخطبتين أو بعد الخطبة ترجمةٌ وتوضيحٌ لمن لا يُحسن العربيَّة، ليحصل المقصود الأعظم من الخطبة، وهو تعليم الناس، ويحصل أداء الجمعة بيقين، وهو أداء الخطبة باللغة العربية.</w:t>
      </w:r>
    </w:p>
    <w:p w14:paraId="7884E9EF" w14:textId="330D9B34"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lastRenderedPageBreak/>
        <w:t>ومَن سلكَ ما ذهب إليه الحنفيَّة من أنَّ المقصود هو الوعظ، فبأي لغ</w:t>
      </w:r>
      <w:r w:rsidR="00932420" w:rsidRPr="00CE748A">
        <w:rPr>
          <w:rFonts w:ascii="Traditional Arabic" w:hAnsi="Traditional Arabic" w:cs="Traditional Arabic" w:hint="cs"/>
          <w:sz w:val="34"/>
          <w:szCs w:val="34"/>
          <w:rtl/>
        </w:rPr>
        <w:t>ة</w:t>
      </w:r>
      <w:r w:rsidRPr="00CE748A">
        <w:rPr>
          <w:rFonts w:ascii="Traditional Arabic" w:hAnsi="Traditional Arabic" w:cs="Traditional Arabic"/>
          <w:sz w:val="34"/>
          <w:szCs w:val="34"/>
          <w:rtl/>
        </w:rPr>
        <w:t xml:space="preserve">ٍ حصل المقصود، وعليه فتوى الشيخ ابن باز -رَحِمَهُ اللهُ- خلافًا لمذهب الحنابلة والجمهور، فأدَّوها بلغتهم؛ كان ذلك صحيحًا، ولهم مندوحة، ولقولهم اعتبار واعتماد، فالأمر في ذلك لا غضاضة فيه ولا </w:t>
      </w:r>
      <w:r w:rsidRPr="00CE748A">
        <w:rPr>
          <w:rFonts w:ascii="Traditional Arabic" w:hAnsi="Traditional Arabic" w:cs="Traditional Arabic" w:hint="cs"/>
          <w:sz w:val="34"/>
          <w:szCs w:val="34"/>
          <w:rtl/>
        </w:rPr>
        <w:t>إ</w:t>
      </w:r>
      <w:r w:rsidRPr="00CE748A">
        <w:rPr>
          <w:rFonts w:ascii="Traditional Arabic" w:hAnsi="Traditional Arabic" w:cs="Traditional Arabic"/>
          <w:sz w:val="34"/>
          <w:szCs w:val="34"/>
          <w:rtl/>
        </w:rPr>
        <w:t>شكال.</w:t>
      </w:r>
    </w:p>
    <w:p w14:paraId="1E0F755B"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وتجدون على سبيل المثال في إندونيسيا باعتبار أنهم شافعيَّة، وأهلها لا يعرفون العربيَّة؛ تجد أن الخطيب يجعل ما تقوم به الخطبة باللغة العربيَّة، ثم يوضحها بلغتهم، ثم يُكمل ذلك توضيحًا وشرحًا وبسطًا وإسهابًا بلغتهم التي </w:t>
      </w:r>
      <w:proofErr w:type="spellStart"/>
      <w:r w:rsidRPr="00CE748A">
        <w:rPr>
          <w:rFonts w:ascii="Traditional Arabic" w:hAnsi="Traditional Arabic" w:cs="Traditional Arabic"/>
          <w:sz w:val="34"/>
          <w:szCs w:val="34"/>
          <w:rtl/>
        </w:rPr>
        <w:t>يعتادونها</w:t>
      </w:r>
      <w:proofErr w:type="spellEnd"/>
      <w:r w:rsidRPr="00CE748A">
        <w:rPr>
          <w:rFonts w:ascii="Traditional Arabic" w:hAnsi="Traditional Arabic" w:cs="Traditional Arabic"/>
          <w:sz w:val="34"/>
          <w:szCs w:val="34"/>
          <w:rtl/>
        </w:rPr>
        <w:t xml:space="preserve"> ويفهمونها، فيكون بذلك نحوٌ مما ذكرناه في تحصيل المقصودين.</w:t>
      </w:r>
    </w:p>
    <w:p w14:paraId="5215DD87"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إذًا؛ هذا ما يتعلق بخطبة الجمعة بغير العربية.</w:t>
      </w:r>
    </w:p>
    <w:p w14:paraId="2BE06A19"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ويُهمُّني في هذا ما ذكرتُ لكم، وهو: لماذا الخلاف؟</w:t>
      </w:r>
    </w:p>
    <w:p w14:paraId="5B5303B1"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بعض الناس يقول: لماذا هذا الخلاف؟ وربما ينضم إلى ذلك بعض العبارات والاسترسال في الأحاديث أو الاتهامات! وهو بعيد عن معنى تقييد الفقهاء لهذه المسألة بالعربيَّة ونحوها، فهذا مهمٌّ لك -أيُّها الطالب- وهو أن تكون على درايةٍ به وعلم.</w:t>
      </w:r>
    </w:p>
    <w:p w14:paraId="1AC18980" w14:textId="42E13AC8"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لا يزال الحديث موصلًا في هذه المسائل التي نطرحها تباعًا في أحكام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مما أعدَّه الزملاء في هذه الأكاديمية، فهو انطلاقة للعلم، وتوضيح له، ولم يزالوا يجتهدون في برامج متنوِّعة تقربُ من الطلاب، وتلبي حاجتهم، وترفع من أدائهم، وتبلغهم -بإذن الله جل وعلا- في العلم مكانًا، سواء كان ذلك في اللغة العربيَّة، أو كان في التوحيد والعقيدة، أو كان ذلك في الفقه وأصوله، أو كان ذلك في مسائل أدب الشرع، وما يتعلق به من أحكام، وآداب العلم، والحديث والسُّنن، وغير ذلك، وهي أبواب عزيزة عظيمةٌ رفيعةٌ من العلم، هنيئًا لمن انضمَّ إلى هذا اللواء، وتابعَ مثل هذه الأعمال، ولم يزل يترقَّى في منازل العلم ودرجات أهله، بلَّغكم الله في العلم مبلغًا عظيمًا، وجعل عملنا وعملكم فيه خالصًا.</w:t>
      </w:r>
    </w:p>
    <w:p w14:paraId="0DC4B212"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المسألة التالية: صلاة الكسوف بموجب العلم الفلكي المسبق.</w:t>
      </w:r>
    </w:p>
    <w:p w14:paraId="4DF0035A"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من العلم أن صلاة الكسوف لها سببان:</w:t>
      </w:r>
    </w:p>
    <w:p w14:paraId="0BBD70FC"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سببٌ حسِّيٌّ حسابي يعرفه أهل الاختصاص من أهل الفلك، ومَن سبَرَ هذا العلم ودرسَه.</w:t>
      </w:r>
    </w:p>
    <w:p w14:paraId="7DA42C7D" w14:textId="01EFD4ED"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lastRenderedPageBreak/>
        <w:t>- سببٌ شرعي</w:t>
      </w:r>
      <w:r w:rsidR="00AA0C57"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 xml:space="preserve"> كما جاءت بذلك الأحاديث في الص</w:t>
      </w:r>
      <w:r w:rsidR="00AA0C57"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 xml:space="preserve">حيحين وغيرهما، أن النبي -صَلَّى اللَّهُ عَلَيْهِ وَسَلَّمَ- قال: </w:t>
      </w:r>
      <w:r w:rsidRPr="00CE748A">
        <w:rPr>
          <w:rFonts w:ascii="Traditional Arabic" w:hAnsi="Traditional Arabic" w:cs="Traditional Arabic"/>
          <w:color w:val="008000"/>
          <w:sz w:val="34"/>
          <w:szCs w:val="34"/>
          <w:rtl/>
        </w:rPr>
        <w:t>«</w:t>
      </w:r>
      <w:r w:rsidR="001F11A5" w:rsidRPr="00CE748A">
        <w:rPr>
          <w:rFonts w:ascii="Traditional Arabic" w:hAnsi="Traditional Arabic" w:cs="Traditional Arabic"/>
          <w:color w:val="008000"/>
          <w:sz w:val="34"/>
          <w:szCs w:val="34"/>
          <w:rtl/>
        </w:rPr>
        <w:t>إنَّ الشَّمْسَ والقَمَرَ آيَتَانِ مِن آيَاتِ اللَّهِ، لا يَنْكَسِفَانِ لِمَوْتِ أحَدٍ ولَا لِحَيَاتِهِ، ولَكِنَّ اللَّهَ تَعَالَى يُخَوِّفُ بهَا عِبَادَهُ</w:t>
      </w:r>
      <w:r w:rsidRPr="00CE748A">
        <w:rPr>
          <w:rFonts w:ascii="Traditional Arabic" w:hAnsi="Traditional Arabic" w:cs="Traditional Arabic"/>
          <w:color w:val="008000"/>
          <w:sz w:val="34"/>
          <w:szCs w:val="34"/>
          <w:rtl/>
        </w:rPr>
        <w:t>»</w:t>
      </w:r>
      <w:r w:rsidR="001F11A5" w:rsidRPr="00CE748A">
        <w:rPr>
          <w:rStyle w:val="FootnoteReference"/>
          <w:rFonts w:ascii="Traditional Arabic" w:hAnsi="Traditional Arabic" w:cs="Traditional Arabic"/>
          <w:sz w:val="34"/>
          <w:szCs w:val="34"/>
          <w:rtl/>
        </w:rPr>
        <w:footnoteReference w:id="1"/>
      </w:r>
      <w:r w:rsidRPr="00CE748A">
        <w:rPr>
          <w:rFonts w:ascii="Traditional Arabic" w:hAnsi="Traditional Arabic" w:cs="Traditional Arabic"/>
          <w:sz w:val="34"/>
          <w:szCs w:val="34"/>
          <w:rtl/>
        </w:rPr>
        <w:t>، فدل على أن لها سبب شرعي، كما أن لها سبب حسي.</w:t>
      </w:r>
    </w:p>
    <w:p w14:paraId="1E4BB96A"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تعرفون أن أهل الفلك يحسبون ذلك ويُخبرون به، وهذا ليس حديثًا، فهذا معروف في الزمن الأول عند علماء الفلك منذ قديم الزمان، وهو ليس مما تعقَّد من هذا العلم؛ بل مَن عرف في هذا العلم درجات ليست كثيرة أمكنه حساب خسوف القمر وكسوف الشمس ونحو ذلك.</w:t>
      </w:r>
    </w:p>
    <w:p w14:paraId="5A14D0AD"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فعلى كل حال: إذا أخبرنا أهل الفلك بحصول شيءٍ من ذلك؛ فهل يسع الإنسان أن يصلي بهذا الخبر أو لا؟</w:t>
      </w:r>
    </w:p>
    <w:p w14:paraId="6B966D63" w14:textId="153674C0"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نقول: إنَّ النبي -صَلَّى اللَّهُ عَلَيْهِ وَسَلَّمَ- ربطَ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بسببٍ ظاهر، فقال: </w:t>
      </w:r>
      <w:r w:rsidRPr="00CE748A">
        <w:rPr>
          <w:rFonts w:ascii="Traditional Arabic" w:hAnsi="Traditional Arabic" w:cs="Traditional Arabic"/>
          <w:color w:val="008000"/>
          <w:sz w:val="34"/>
          <w:szCs w:val="34"/>
          <w:rtl/>
        </w:rPr>
        <w:t>«</w:t>
      </w:r>
      <w:r w:rsidR="001F11A5" w:rsidRPr="00CE748A">
        <w:rPr>
          <w:rFonts w:ascii="Traditional Arabic" w:hAnsi="Traditional Arabic" w:cs="Traditional Arabic"/>
          <w:color w:val="008000"/>
          <w:sz w:val="34"/>
          <w:szCs w:val="34"/>
          <w:rtl/>
        </w:rPr>
        <w:t>فَإِذَا رَأَيْتُمْ منها شيئًا فَصَلُّوا</w:t>
      </w:r>
      <w:r w:rsidRPr="00CE748A">
        <w:rPr>
          <w:rFonts w:ascii="Traditional Arabic" w:hAnsi="Traditional Arabic" w:cs="Traditional Arabic"/>
          <w:color w:val="008000"/>
          <w:sz w:val="34"/>
          <w:szCs w:val="34"/>
          <w:rtl/>
        </w:rPr>
        <w:t>»</w:t>
      </w:r>
      <w:r w:rsidR="001F11A5" w:rsidRPr="00CE748A">
        <w:rPr>
          <w:rStyle w:val="FootnoteReference"/>
          <w:rFonts w:ascii="Traditional Arabic" w:hAnsi="Traditional Arabic" w:cs="Traditional Arabic"/>
          <w:sz w:val="34"/>
          <w:szCs w:val="34"/>
          <w:rtl/>
        </w:rPr>
        <w:footnoteReference w:id="2"/>
      </w:r>
      <w:r w:rsidRPr="00CE748A">
        <w:rPr>
          <w:rFonts w:ascii="Traditional Arabic" w:hAnsi="Traditional Arabic" w:cs="Traditional Arabic"/>
          <w:sz w:val="34"/>
          <w:szCs w:val="34"/>
          <w:rtl/>
        </w:rPr>
        <w:t>، فالعلة والمناط ليس هو حصول الشيء، وإنَّما رؤيته وتعلقه بعلم المكلَّف.</w:t>
      </w:r>
    </w:p>
    <w:p w14:paraId="04EF686D" w14:textId="671E2B04"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فبناء على ذلك لو أن الشمس قد انكسفت والغيم قد سترها، أو الغبار قد حجبها؛ فلا تجب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لأن النبي -صَلَّى اللَّهُ عَلَيْهِ وَسَلَّمَ- قال: </w:t>
      </w:r>
      <w:r w:rsidRPr="00CE748A">
        <w:rPr>
          <w:rFonts w:ascii="Traditional Arabic" w:hAnsi="Traditional Arabic" w:cs="Traditional Arabic"/>
          <w:color w:val="008000"/>
          <w:sz w:val="34"/>
          <w:szCs w:val="34"/>
          <w:rtl/>
        </w:rPr>
        <w:t>«</w:t>
      </w:r>
      <w:r w:rsidR="001F11A5" w:rsidRPr="00CE748A">
        <w:rPr>
          <w:rFonts w:ascii="Traditional Arabic" w:hAnsi="Traditional Arabic" w:cs="Traditional Arabic"/>
          <w:color w:val="008000"/>
          <w:sz w:val="34"/>
          <w:szCs w:val="34"/>
          <w:rtl/>
        </w:rPr>
        <w:t>فَإِذَا رَأَيْتُمْ</w:t>
      </w:r>
      <w:r w:rsidRPr="00CE748A">
        <w:rPr>
          <w:rFonts w:ascii="Traditional Arabic" w:hAnsi="Traditional Arabic" w:cs="Traditional Arabic"/>
          <w:color w:val="008000"/>
          <w:sz w:val="34"/>
          <w:szCs w:val="34"/>
          <w:rtl/>
        </w:rPr>
        <w:t>»</w:t>
      </w:r>
      <w:r w:rsidRPr="00CE748A">
        <w:rPr>
          <w:rFonts w:ascii="Traditional Arabic" w:hAnsi="Traditional Arabic" w:cs="Traditional Arabic"/>
          <w:sz w:val="34"/>
          <w:szCs w:val="34"/>
          <w:rtl/>
        </w:rPr>
        <w:t>، فعلَّ ذلك برؤية الناس وإدراكهم له.</w:t>
      </w:r>
    </w:p>
    <w:p w14:paraId="6F85E201" w14:textId="03FFF051"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وبناءً على هذا نقول: إنَّ علم أهل الفلك وإخبارهم بذلك لا يزيد من الأمر شيئًا ولا ينقصه، وإنما يقربه ويسهله، فبناء على ذلك لو أخبرنا أهل الفلك وقالوا: في الساعة التاسعة وخمس وثلاثون دقيقة ستنكسف الشمس، فإذا جاءت الساعة التاسعة والخمس وثلاثون قال الإمام: الله أكبر. نقول: لا، هل رأيتَ؟ هل أدركتَ؟ هل وضحَ لك؟</w:t>
      </w:r>
    </w:p>
    <w:p w14:paraId="7E3C3A58"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فبناء على ذلك يكون مناط الحكم، وهو الرؤية كما في الحديث، وهذا قول أهل العلم، و-كما قلنا- مع علم العلماء السابقين بأن ذلك مدركٌ عند أهل العلم والفلك بحصول الخسوف والكسوف ونحوه، فإنَّ أحدًا منهم لم ينص على أنه يُصلَّى بمجرد قول أهل الفلك، ولأنه يحصل بذلك بعض الأخطاء، فيقول بعضهم بانه يحصل ولا يحصل، فأيضًا هذا مما يزيد من أنه لا يُعتمَدُ على قولهم في شيءٍ من ذلك البتَّة.</w:t>
      </w:r>
    </w:p>
    <w:p w14:paraId="67973714" w14:textId="2955F9C3"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بل نصَّ أهل العلم كما نصَّ على ذلك ابن تيمية -رَحِمَهُ اللهُ- وجماعة من أهل العلم </w:t>
      </w:r>
      <w:r w:rsidR="00D822DE" w:rsidRPr="00CE748A">
        <w:rPr>
          <w:rFonts w:ascii="Traditional Arabic" w:hAnsi="Traditional Arabic" w:cs="Traditional Arabic" w:hint="cs"/>
          <w:sz w:val="34"/>
          <w:szCs w:val="34"/>
          <w:rtl/>
        </w:rPr>
        <w:t>على</w:t>
      </w:r>
      <w:r w:rsidRPr="00CE748A">
        <w:rPr>
          <w:rFonts w:ascii="Traditional Arabic" w:hAnsi="Traditional Arabic" w:cs="Traditional Arabic"/>
          <w:sz w:val="34"/>
          <w:szCs w:val="34"/>
          <w:rtl/>
        </w:rPr>
        <w:t xml:space="preserve"> أنَّه لا يُعتمَد على قول أهل الفلك في إقامة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وأداء هذه الشَّعيرة، بل إذا رُ</w:t>
      </w:r>
      <w:r w:rsidRPr="00CE748A">
        <w:rPr>
          <w:rFonts w:ascii="Traditional Arabic" w:hAnsi="Traditional Arabic" w:cs="Traditional Arabic" w:hint="cs"/>
          <w:sz w:val="34"/>
          <w:szCs w:val="34"/>
          <w:rtl/>
        </w:rPr>
        <w:t>ئِ</w:t>
      </w:r>
      <w:r w:rsidRPr="00CE748A">
        <w:rPr>
          <w:rFonts w:ascii="Traditional Arabic" w:hAnsi="Traditional Arabic" w:cs="Traditional Arabic"/>
          <w:sz w:val="34"/>
          <w:szCs w:val="34"/>
          <w:rtl/>
        </w:rPr>
        <w:t>يَ ذلك وعلم الناس علمًا يقينيًّا بإدراكهم له ومعرفتهم به.</w:t>
      </w:r>
    </w:p>
    <w:p w14:paraId="2F28F6DF" w14:textId="5C8CF0B9"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lastRenderedPageBreak/>
        <w:t>وقال أهل العلم: إن علم أهل الفلك يُقرِّب، فبناء على ذلك إذا قال علماء الفلك</w:t>
      </w:r>
      <w:r w:rsidR="00D822DE"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 xml:space="preserve"> </w:t>
      </w:r>
      <w:r w:rsidR="00D822DE" w:rsidRPr="00CE748A">
        <w:rPr>
          <w:rFonts w:ascii="Traditional Arabic" w:hAnsi="Traditional Arabic" w:cs="Traditional Arabic" w:hint="cs"/>
          <w:sz w:val="34"/>
          <w:szCs w:val="34"/>
          <w:rtl/>
        </w:rPr>
        <w:t>إ</w:t>
      </w:r>
      <w:r w:rsidRPr="00CE748A">
        <w:rPr>
          <w:rFonts w:ascii="Traditional Arabic" w:hAnsi="Traditional Arabic" w:cs="Traditional Arabic"/>
          <w:sz w:val="34"/>
          <w:szCs w:val="34"/>
          <w:rtl/>
        </w:rPr>
        <w:t xml:space="preserve">نه في الساعة الواحدة وعشرون دقيقة من هذه الليلة سيكون خسوفٌ للقمر، والناس في الغالب يكونوا نيامًا؛ فتحصيلًا للسنَّة وأداءً لهذه الشَّعيرة يقوم القائم ويستعد للعبادة حتى يؤدِّيَ ما أمر به النبي -صَلَّى اللَّهُ عَلَيْهِ وَسَلَّمَ-، ولكن ينظر، فإذا رآه كما أخبروا به؛ أوقع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وفعلها، وإلا فلا.</w:t>
      </w:r>
    </w:p>
    <w:p w14:paraId="5193A579" w14:textId="2783836E"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إذًا؛ كما قلنا هو مسهِّلٌ لأداء هذه الشَّعيرةِ ومقرِّبٌ لها، لكنه لا يُعتمَد عليه، ولذلك قال جماعةٌ من أهل العلم: لا بأس بالاعتماد على قول أهل الفلك في الاستعداد للعبادة والاهتمام بها، والمبادرة حتى يكون أسرع للإنسان في الاقتداء بالنبي -صَلَّى اللَّهُ عَلَيْهِ وَسَلَّمَ-، لكن قيام الشَّعيرة مربوط بحصول ذلك المحسوس، ورؤية الناس له، فإذا رأوه تعلَّق بهم حكم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وفعلوها.</w:t>
      </w:r>
    </w:p>
    <w:p w14:paraId="283FF258" w14:textId="25B46C66"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وأذكر في مثل هذا أنه في سنةٍ ليست قريبة أخبر مَن أخبر من بعض أهل الفلك أنه يحصل شيءٌ من الخسوف أو الكسوف، وأذكر في هذا أنَّ مسجدًا قريبًا من منزلنا صلى لمجرَّد حصول الخبر في الوقت الذي ذكروه، ولما قطَعَ في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شوطًا الناس لم يروه، ولم يصلِّ أحدٌ من الناس، فلم يكن هذا الخبر دقيقًا ولا علم أهل الفلك صحيحًا، فبناءً على ذلك كأنه صلى صلاةً في غير موضعها، فهذا مما يؤكِّد أنه لا يُعتَمَد عليهم لمجرد خبر أهل الفلك، ولكن قد يُستفاد من هذا تسهيل العبادة وتقريبها، والاستعداد لها والمبادرة إليها، لكن العبادة منوطة بالرؤية وتحقق ذلك، وهذا هو المستقر عند أهل العلم، والذي لا يختلفون فيه.</w:t>
      </w:r>
    </w:p>
    <w:p w14:paraId="3840D636"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إذًا؛ هذا ما يتعلق بصلاة الكسوف.</w:t>
      </w:r>
    </w:p>
    <w:p w14:paraId="2A66B0F5" w14:textId="29E3B126"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فيما يذكره الفقهاء -رحمهم الله تعالى- في كتاب </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كتاب الجنائز، باعتبار أنها مشتملةٌ على صلاة الجنازة.</w:t>
      </w:r>
    </w:p>
    <w:p w14:paraId="409F6A97" w14:textId="26C87291"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وكتاب الجنائز فيه مسألة يُحتاج </w:t>
      </w:r>
      <w:r w:rsidR="00932420" w:rsidRPr="00CE748A">
        <w:rPr>
          <w:rFonts w:ascii="Traditional Arabic" w:hAnsi="Traditional Arabic" w:cs="Traditional Arabic" w:hint="cs"/>
          <w:sz w:val="34"/>
          <w:szCs w:val="34"/>
          <w:rtl/>
        </w:rPr>
        <w:t>إ</w:t>
      </w:r>
      <w:r w:rsidRPr="00CE748A">
        <w:rPr>
          <w:rFonts w:ascii="Traditional Arabic" w:hAnsi="Traditional Arabic" w:cs="Traditional Arabic"/>
          <w:sz w:val="34"/>
          <w:szCs w:val="34"/>
          <w:rtl/>
        </w:rPr>
        <w:t>ليها، وهي: حكم تشريح الجثَّة -أو تشريح الميت بعدَ موته.</w:t>
      </w:r>
    </w:p>
    <w:p w14:paraId="3EC8F68D" w14:textId="37001310"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من المعلوم أنَّ الميِّت له حُرمةٌ عظَّمها الله -جَلَّ وَعَلَا- وعظَّمها رسوله -صَلَّى اللَّهُ عَلَيْهِ وَسَلَّمَ، حتى الكافر في حال الحرب، فقد نهى النبي -صَلَّى اللَّهُ عَلَيْهِ وَسَلَّمَ- عن المثلة، وهو أن يُمثَّل ب</w:t>
      </w:r>
      <w:r w:rsidRPr="00CE748A">
        <w:rPr>
          <w:rFonts w:ascii="Traditional Arabic" w:hAnsi="Traditional Arabic" w:cs="Traditional Arabic" w:hint="cs"/>
          <w:sz w:val="34"/>
          <w:szCs w:val="34"/>
          <w:rtl/>
        </w:rPr>
        <w:t>ج</w:t>
      </w:r>
      <w:r w:rsidRPr="00CE748A">
        <w:rPr>
          <w:rFonts w:ascii="Traditional Arabic" w:hAnsi="Traditional Arabic" w:cs="Traditional Arabic"/>
          <w:sz w:val="34"/>
          <w:szCs w:val="34"/>
          <w:rtl/>
        </w:rPr>
        <w:t>ثثهم، فلا تقطَّع جثثهم ولا يُفعل بها ما لا يُحسن فعله، فإذا كان معصومًا وكان مسلمًا فحرمته أعظم و</w:t>
      </w:r>
      <w:r w:rsidR="00932420" w:rsidRPr="00CE748A">
        <w:rPr>
          <w:rFonts w:ascii="Traditional Arabic" w:hAnsi="Traditional Arabic" w:cs="Traditional Arabic" w:hint="cs"/>
          <w:sz w:val="34"/>
          <w:szCs w:val="34"/>
          <w:rtl/>
        </w:rPr>
        <w:t>أ</w:t>
      </w:r>
      <w:r w:rsidRPr="00CE748A">
        <w:rPr>
          <w:rFonts w:ascii="Traditional Arabic" w:hAnsi="Traditional Arabic" w:cs="Traditional Arabic"/>
          <w:sz w:val="34"/>
          <w:szCs w:val="34"/>
          <w:rtl/>
        </w:rPr>
        <w:t xml:space="preserve">تم، ولذلك قال النبي -صَلَّى اللَّهُ عَلَيْهِ وَسَلَّمَ: </w:t>
      </w:r>
      <w:r w:rsidRPr="00CE748A">
        <w:rPr>
          <w:rFonts w:ascii="Traditional Arabic" w:hAnsi="Traditional Arabic" w:cs="Traditional Arabic"/>
          <w:color w:val="008000"/>
          <w:sz w:val="34"/>
          <w:szCs w:val="34"/>
          <w:rtl/>
        </w:rPr>
        <w:t>«</w:t>
      </w:r>
      <w:r w:rsidR="0099351C" w:rsidRPr="00CE748A">
        <w:rPr>
          <w:rFonts w:ascii="Traditional Arabic" w:hAnsi="Traditional Arabic" w:cs="Traditional Arabic"/>
          <w:color w:val="008000"/>
          <w:sz w:val="34"/>
          <w:szCs w:val="34"/>
          <w:rtl/>
        </w:rPr>
        <w:t>ك</w:t>
      </w:r>
      <w:r w:rsidR="0099351C" w:rsidRPr="00CE748A">
        <w:rPr>
          <w:rFonts w:ascii="Traditional Arabic" w:hAnsi="Traditional Arabic" w:cs="Traditional Arabic" w:hint="cs"/>
          <w:color w:val="008000"/>
          <w:sz w:val="34"/>
          <w:szCs w:val="34"/>
          <w:rtl/>
        </w:rPr>
        <w:t>َ</w:t>
      </w:r>
      <w:r w:rsidR="0099351C" w:rsidRPr="00CE748A">
        <w:rPr>
          <w:rFonts w:ascii="Traditional Arabic" w:hAnsi="Traditional Arabic" w:cs="Traditional Arabic"/>
          <w:color w:val="008000"/>
          <w:sz w:val="34"/>
          <w:szCs w:val="34"/>
          <w:rtl/>
        </w:rPr>
        <w:t>س</w:t>
      </w:r>
      <w:r w:rsidR="0099351C" w:rsidRPr="00CE748A">
        <w:rPr>
          <w:rFonts w:ascii="Traditional Arabic" w:hAnsi="Traditional Arabic" w:cs="Traditional Arabic" w:hint="cs"/>
          <w:color w:val="008000"/>
          <w:sz w:val="34"/>
          <w:szCs w:val="34"/>
          <w:rtl/>
        </w:rPr>
        <w:t>ْ</w:t>
      </w:r>
      <w:r w:rsidR="0099351C" w:rsidRPr="00CE748A">
        <w:rPr>
          <w:rFonts w:ascii="Traditional Arabic" w:hAnsi="Traditional Arabic" w:cs="Traditional Arabic"/>
          <w:color w:val="008000"/>
          <w:sz w:val="34"/>
          <w:szCs w:val="34"/>
          <w:rtl/>
        </w:rPr>
        <w:t>رُ عَظ</w:t>
      </w:r>
      <w:r w:rsidR="0099351C" w:rsidRPr="00CE748A">
        <w:rPr>
          <w:rFonts w:ascii="Traditional Arabic" w:hAnsi="Traditional Arabic" w:cs="Traditional Arabic" w:hint="cs"/>
          <w:color w:val="008000"/>
          <w:sz w:val="34"/>
          <w:szCs w:val="34"/>
          <w:rtl/>
        </w:rPr>
        <w:t>ْ</w:t>
      </w:r>
      <w:r w:rsidR="0099351C" w:rsidRPr="00CE748A">
        <w:rPr>
          <w:rFonts w:ascii="Traditional Arabic" w:hAnsi="Traditional Arabic" w:cs="Traditional Arabic"/>
          <w:color w:val="008000"/>
          <w:sz w:val="34"/>
          <w:szCs w:val="34"/>
          <w:rtl/>
        </w:rPr>
        <w:t>مِ المَيِّتِ كَكَسرِهِ ح</w:t>
      </w:r>
      <w:r w:rsidR="0099351C" w:rsidRPr="00CE748A">
        <w:rPr>
          <w:rFonts w:ascii="Traditional Arabic" w:hAnsi="Traditional Arabic" w:cs="Traditional Arabic" w:hint="cs"/>
          <w:color w:val="008000"/>
          <w:sz w:val="34"/>
          <w:szCs w:val="34"/>
          <w:rtl/>
        </w:rPr>
        <w:t>َ</w:t>
      </w:r>
      <w:r w:rsidR="0099351C" w:rsidRPr="00CE748A">
        <w:rPr>
          <w:rFonts w:ascii="Traditional Arabic" w:hAnsi="Traditional Arabic" w:cs="Traditional Arabic"/>
          <w:color w:val="008000"/>
          <w:sz w:val="34"/>
          <w:szCs w:val="34"/>
          <w:rtl/>
        </w:rPr>
        <w:t>يًّا</w:t>
      </w:r>
      <w:r w:rsidRPr="00CE748A">
        <w:rPr>
          <w:rFonts w:ascii="Traditional Arabic" w:hAnsi="Traditional Arabic" w:cs="Traditional Arabic"/>
          <w:color w:val="008000"/>
          <w:sz w:val="34"/>
          <w:szCs w:val="34"/>
          <w:rtl/>
        </w:rPr>
        <w:t>»</w:t>
      </w:r>
      <w:r w:rsidR="0099351C" w:rsidRPr="00CE748A">
        <w:rPr>
          <w:rStyle w:val="FootnoteReference"/>
          <w:rFonts w:ascii="Traditional Arabic" w:hAnsi="Traditional Arabic" w:cs="Traditional Arabic"/>
          <w:color w:val="008000"/>
          <w:sz w:val="34"/>
          <w:szCs w:val="34"/>
          <w:rtl/>
        </w:rPr>
        <w:footnoteReference w:id="3"/>
      </w:r>
      <w:r w:rsidRPr="00CE748A">
        <w:rPr>
          <w:rFonts w:ascii="Traditional Arabic" w:hAnsi="Traditional Arabic" w:cs="Traditional Arabic"/>
          <w:sz w:val="34"/>
          <w:szCs w:val="34"/>
          <w:rtl/>
        </w:rPr>
        <w:t>، فمنع من الاعتداء على الأموات، كما هو ممنوع من الاعتداء على الأحياء، فهذا متقرِّرٌ شرعًا.</w:t>
      </w:r>
    </w:p>
    <w:p w14:paraId="3EA754F1" w14:textId="47848FD8"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lastRenderedPageBreak/>
        <w:t>ويعظم هذا الأمر من جهة أنَّ هذا الميت لا يستطيع دفعًا عن نفسه، فيكون متعلَّق الحكم ما بين أهل الإسلام من الأخوة، فيُدفَع عن الميت الإضرار به أو أذيَّته أو الاعتداء على جثَّته، أو تعريضه لما لا يحسُن من حق الميتِ من الإكرام والحفظِ و</w:t>
      </w:r>
      <w:r w:rsidR="00DF7E23" w:rsidRPr="00CE748A">
        <w:rPr>
          <w:rFonts w:ascii="Traditional Arabic" w:hAnsi="Traditional Arabic" w:cs="Traditional Arabic"/>
          <w:sz w:val="34"/>
          <w:szCs w:val="34"/>
          <w:rtl/>
        </w:rPr>
        <w:t>الصَّلاة</w:t>
      </w:r>
      <w:r w:rsidRPr="00CE748A">
        <w:rPr>
          <w:rFonts w:ascii="Traditional Arabic" w:hAnsi="Traditional Arabic" w:cs="Traditional Arabic"/>
          <w:sz w:val="34"/>
          <w:szCs w:val="34"/>
          <w:rtl/>
        </w:rPr>
        <w:t xml:space="preserve"> والتغسيل والتكفين والدفن.</w:t>
      </w:r>
    </w:p>
    <w:p w14:paraId="34727399" w14:textId="069FFD24"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إذًا؛ هذا هو أصل المسألة، وهو أنَّ الميت حرمته محفوظة في حال موته كما هي في حال حياته.</w:t>
      </w:r>
    </w:p>
    <w:p w14:paraId="25C98A74"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والتشريح هو علمٌ من العلوم الحديثة التي توصَّل إليها العلم </w:t>
      </w:r>
      <w:proofErr w:type="spellStart"/>
      <w:r w:rsidRPr="00CE748A">
        <w:rPr>
          <w:rFonts w:ascii="Traditional Arabic" w:hAnsi="Traditional Arabic" w:cs="Traditional Arabic"/>
          <w:sz w:val="34"/>
          <w:szCs w:val="34"/>
          <w:rtl/>
        </w:rPr>
        <w:t>ليُستفاد</w:t>
      </w:r>
      <w:proofErr w:type="spellEnd"/>
      <w:r w:rsidRPr="00CE748A">
        <w:rPr>
          <w:rFonts w:ascii="Traditional Arabic" w:hAnsi="Traditional Arabic" w:cs="Traditional Arabic"/>
          <w:sz w:val="34"/>
          <w:szCs w:val="34"/>
          <w:rtl/>
        </w:rPr>
        <w:t xml:space="preserve"> من معرفة أسباب الوفاة، لكن لا يتأتَّى ذلك إلا بفتح الميت، وبروز بعض أعضائه، وحرمة الميت مستقرة شرعًا، والتشريح له فوائد، فهل يكون ذلك جائزًا؟</w:t>
      </w:r>
    </w:p>
    <w:p w14:paraId="3FD13DC3" w14:textId="2FDC7A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نقول: من حيث الأصل هو ممنوع، ولكن إذا احتيج إلى ذلك فيُنظَر ف</w:t>
      </w:r>
      <w:r w:rsidR="00932420"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 xml:space="preserve">يمَ تكون الحاجة، يقول أهل العلم: إن التشريح يكون لفوائد متنوِّعة، فقد يكون التشريح لمعرفة سبب الوفاة، وهو باب من أبواب الأدلَّة الجنائية والعلم الجنائي، فهذا </w:t>
      </w:r>
      <w:r w:rsidRPr="00CE748A">
        <w:rPr>
          <w:rFonts w:ascii="Traditional Arabic" w:hAnsi="Traditional Arabic" w:cs="Traditional Arabic" w:hint="cs"/>
          <w:sz w:val="34"/>
          <w:szCs w:val="34"/>
          <w:rtl/>
        </w:rPr>
        <w:t>م</w:t>
      </w:r>
      <w:r w:rsidRPr="00CE748A">
        <w:rPr>
          <w:rFonts w:ascii="Traditional Arabic" w:hAnsi="Traditional Arabic" w:cs="Traditional Arabic"/>
          <w:sz w:val="34"/>
          <w:szCs w:val="34"/>
          <w:rtl/>
        </w:rPr>
        <w:t>اتَ ولم يُعرَف سببه، وتوجد تهمٌ بوجود خنق له، أو أكل شيءٍ مسموم دسَّه له صديق أو خادمٌ أو سواه، فيُحتاج إلى معرفة ذلك السبب، فهنا اختلف أهل العلم المعاصرون في ذلك، والذي استقر عليه قول أهل التحقيق في المجامع الفقهيَّة وقول أهل الفتيا أنَّ منع الاعتداء على الميت تحقيقًا لمصلحته، لكن المصلحة الحاصلة بتشريح جثَّته لما يترتَّب على ذلك من تتبُّع الجاني وملاحقته وإلقاء القبض عليه وتعليق العقوبة به، وما يترتَّب على ذلك من مصلحةٍ أعظم وهو حفظ أمن الناس وعدم الاعتداء عليهم أعظمُ مما يكون من تشريح جثَّته.</w:t>
      </w:r>
    </w:p>
    <w:p w14:paraId="593B2F77" w14:textId="3852F3A8"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وبناء على هذا قالوا: يجوز في مثل هذه الحالة ولا غضاضة، لعظم المصلحة المترتَّبة على ذلك، ولعظيم الأثر الذي يحصل بمثل هذا التشريح، وينقطع به دابر الإجرام وأهله، ويُقام الحق والعدل، ويظهر الأمن في الناس، ويُمنع الاعتداء عليهم في الخلوات.</w:t>
      </w:r>
    </w:p>
    <w:p w14:paraId="4E98C8F6" w14:textId="18D324C6"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أيضًا لو كان التشريح لأجل التعليم، وهذا يحصل في كليَّات الطب، والمتدربين فيه تُعرَض لهم بعض الأعضاء وتُشرَّح، فهذا درجةٌ أخف من الدرجة التي قبلها، فبعض أهل العلم منع منه اعتبارًا بالأصل، وهو حفظ حق الميت وكرامته، وبعضهم قال: إن المصلحة المتحققة في ذلك أعظم، وأنَّ حصول تعلُّم أبنائنا للطبِّ ضرورة لما يترتَّب على ذلك من حماية الناس وحفظهم، وأنه يتعلق بذلك حفظ الأحياء، وحفظ الأحياء أعظم مصلحةً من حفظِ الأموات، فإنَّ الميت لا يزالُ حتى يتعفَّن بدنه وينهشه الدود ونحو ذلك، فقالوا إن المصلحة المتعلقة بذلك من مكافحة الأمراض ودفع الأوبئة الذي لا يتأتى إلا من خلال تشريح الموتى ونحوه مصلحة كبيرةٌ.</w:t>
      </w:r>
    </w:p>
    <w:p w14:paraId="56627250" w14:textId="49959114"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lastRenderedPageBreak/>
        <w:t>قالوا: ومما يدل على ذلك: أنَّ المي</w:t>
      </w:r>
      <w:r w:rsidR="00932420"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 xml:space="preserve">تة لو ماتت وفي بطنها حملٌ أمكن استخلاصه فإنه يُفعَل، مع أنه لا يتأتى ذلك </w:t>
      </w:r>
      <w:r w:rsidR="00D822DE" w:rsidRPr="00CE748A">
        <w:rPr>
          <w:rFonts w:ascii="Traditional Arabic" w:hAnsi="Traditional Arabic" w:cs="Traditional Arabic" w:hint="cs"/>
          <w:sz w:val="34"/>
          <w:szCs w:val="34"/>
          <w:rtl/>
        </w:rPr>
        <w:t>إ</w:t>
      </w:r>
      <w:r w:rsidRPr="00CE748A">
        <w:rPr>
          <w:rFonts w:ascii="Traditional Arabic" w:hAnsi="Traditional Arabic" w:cs="Traditional Arabic"/>
          <w:sz w:val="34"/>
          <w:szCs w:val="34"/>
          <w:rtl/>
        </w:rPr>
        <w:t xml:space="preserve">لا بفتح بطنها، وفتح بطنها اعتداءٌ عليها في حال موتها، ومع ذلك تحصيلًا لمصلحة هذا الحي الذي بطنها، فكذلك </w:t>
      </w:r>
      <w:r w:rsidR="0099351C" w:rsidRPr="00CE748A">
        <w:rPr>
          <w:rFonts w:ascii="Traditional Arabic" w:hAnsi="Traditional Arabic" w:cs="Traditional Arabic" w:hint="cs"/>
          <w:sz w:val="34"/>
          <w:szCs w:val="34"/>
          <w:rtl/>
        </w:rPr>
        <w:t>ما</w:t>
      </w:r>
      <w:r w:rsidRPr="00CE748A">
        <w:rPr>
          <w:rFonts w:ascii="Traditional Arabic" w:hAnsi="Traditional Arabic" w:cs="Traditional Arabic"/>
          <w:sz w:val="34"/>
          <w:szCs w:val="34"/>
          <w:rtl/>
        </w:rPr>
        <w:t xml:space="preserve"> يترتب على هذا من المصالح بالنسبة للأحياء، وبناء على ذلك قالوا: يُمكن القول بتصحيح ذلك بالنسبة لجثث المعصومين، فيُفعل ما احتيج إليه تحصيلًا للمصلحة العظمى.</w:t>
      </w:r>
    </w:p>
    <w:p w14:paraId="19C844F3" w14:textId="16CB85A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مع أنه لا ينبغي أن يُحتاج إلى مثل ذلك إلا في حال الاضطرار، فإذا وُجدَ ممن بذلوا أنفسهم من غير المسلمين، أو ممَّن لا حرمة له ونحوهم ممن تحقق عليهم ذلك بانتفاء الحرمة؛ فيكون أبعدَ من حصول الإشكال، وتحصيلًا للمقصود من تعليم الطب والإفادة فيه، وأيضًا ما ماثل ذلك من الأحوال التي يلزم لها تشريح الجثث.</w:t>
      </w:r>
    </w:p>
    <w:p w14:paraId="3309E89B" w14:textId="77366FE1"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مناط المسألة التي نحب أن يكون مستقرًّا لدى طالب العلم هو: حُرمَة الميت، وعدم الاعتداء عليه، وما جاء عن النبي -صَلَّى اللَّهُ عَلَيْهِ وَسَلَّمَ: </w:t>
      </w:r>
      <w:r w:rsidRPr="00CE748A">
        <w:rPr>
          <w:rFonts w:ascii="Traditional Arabic" w:hAnsi="Traditional Arabic" w:cs="Traditional Arabic"/>
          <w:color w:val="008000"/>
          <w:sz w:val="34"/>
          <w:szCs w:val="34"/>
          <w:rtl/>
        </w:rPr>
        <w:t>«</w:t>
      </w:r>
      <w:r w:rsidR="0099351C" w:rsidRPr="00CE748A">
        <w:rPr>
          <w:rFonts w:ascii="Traditional Arabic" w:hAnsi="Traditional Arabic" w:cs="Traditional Arabic"/>
          <w:color w:val="008000"/>
          <w:sz w:val="34"/>
          <w:szCs w:val="34"/>
          <w:rtl/>
        </w:rPr>
        <w:t>ك</w:t>
      </w:r>
      <w:r w:rsidR="0099351C" w:rsidRPr="00CE748A">
        <w:rPr>
          <w:rFonts w:ascii="Traditional Arabic" w:hAnsi="Traditional Arabic" w:cs="Traditional Arabic" w:hint="cs"/>
          <w:color w:val="008000"/>
          <w:sz w:val="34"/>
          <w:szCs w:val="34"/>
          <w:rtl/>
        </w:rPr>
        <w:t>َ</w:t>
      </w:r>
      <w:r w:rsidR="0099351C" w:rsidRPr="00CE748A">
        <w:rPr>
          <w:rFonts w:ascii="Traditional Arabic" w:hAnsi="Traditional Arabic" w:cs="Traditional Arabic"/>
          <w:color w:val="008000"/>
          <w:sz w:val="34"/>
          <w:szCs w:val="34"/>
          <w:rtl/>
        </w:rPr>
        <w:t>س</w:t>
      </w:r>
      <w:r w:rsidR="0099351C" w:rsidRPr="00CE748A">
        <w:rPr>
          <w:rFonts w:ascii="Traditional Arabic" w:hAnsi="Traditional Arabic" w:cs="Traditional Arabic" w:hint="cs"/>
          <w:color w:val="008000"/>
          <w:sz w:val="34"/>
          <w:szCs w:val="34"/>
          <w:rtl/>
        </w:rPr>
        <w:t>ْ</w:t>
      </w:r>
      <w:r w:rsidR="0099351C" w:rsidRPr="00CE748A">
        <w:rPr>
          <w:rFonts w:ascii="Traditional Arabic" w:hAnsi="Traditional Arabic" w:cs="Traditional Arabic"/>
          <w:color w:val="008000"/>
          <w:sz w:val="34"/>
          <w:szCs w:val="34"/>
          <w:rtl/>
        </w:rPr>
        <w:t>رُ عَظ</w:t>
      </w:r>
      <w:r w:rsidR="0099351C" w:rsidRPr="00CE748A">
        <w:rPr>
          <w:rFonts w:ascii="Traditional Arabic" w:hAnsi="Traditional Arabic" w:cs="Traditional Arabic" w:hint="cs"/>
          <w:color w:val="008000"/>
          <w:sz w:val="34"/>
          <w:szCs w:val="34"/>
          <w:rtl/>
        </w:rPr>
        <w:t>ْ</w:t>
      </w:r>
      <w:r w:rsidR="0099351C" w:rsidRPr="00CE748A">
        <w:rPr>
          <w:rFonts w:ascii="Traditional Arabic" w:hAnsi="Traditional Arabic" w:cs="Traditional Arabic"/>
          <w:color w:val="008000"/>
          <w:sz w:val="34"/>
          <w:szCs w:val="34"/>
          <w:rtl/>
        </w:rPr>
        <w:t>مِ المَيِّتِ كَكَسرِهِ ح</w:t>
      </w:r>
      <w:r w:rsidR="0099351C" w:rsidRPr="00CE748A">
        <w:rPr>
          <w:rFonts w:ascii="Traditional Arabic" w:hAnsi="Traditional Arabic" w:cs="Traditional Arabic" w:hint="cs"/>
          <w:color w:val="008000"/>
          <w:sz w:val="34"/>
          <w:szCs w:val="34"/>
          <w:rtl/>
        </w:rPr>
        <w:t>َ</w:t>
      </w:r>
      <w:r w:rsidR="0099351C" w:rsidRPr="00CE748A">
        <w:rPr>
          <w:rFonts w:ascii="Traditional Arabic" w:hAnsi="Traditional Arabic" w:cs="Traditional Arabic"/>
          <w:color w:val="008000"/>
          <w:sz w:val="34"/>
          <w:szCs w:val="34"/>
          <w:rtl/>
        </w:rPr>
        <w:t>يًّا</w:t>
      </w:r>
      <w:r w:rsidRPr="00CE748A">
        <w:rPr>
          <w:rFonts w:ascii="Traditional Arabic" w:hAnsi="Traditional Arabic" w:cs="Traditional Arabic"/>
          <w:color w:val="008000"/>
          <w:sz w:val="34"/>
          <w:szCs w:val="34"/>
          <w:rtl/>
        </w:rPr>
        <w:t>»</w:t>
      </w:r>
      <w:r w:rsidRPr="00CE748A">
        <w:rPr>
          <w:rFonts w:ascii="Traditional Arabic" w:hAnsi="Traditional Arabic" w:cs="Traditional Arabic"/>
          <w:sz w:val="34"/>
          <w:szCs w:val="34"/>
          <w:rtl/>
        </w:rPr>
        <w:t>، وما جاء في أحاديث كثيرة من عدم الوطء على القبور، وما جاء من حفظ الإنسان في نفسه وفي بعضه، حتى جاء عن ابن عمر وغيره أنه إذا وقع من الإنسان سنٌّ أو ظفر</w:t>
      </w:r>
      <w:r w:rsidRPr="00CE748A">
        <w:rPr>
          <w:rFonts w:ascii="Traditional Arabic" w:hAnsi="Traditional Arabic" w:cs="Traditional Arabic" w:hint="cs"/>
          <w:sz w:val="34"/>
          <w:szCs w:val="34"/>
          <w:rtl/>
        </w:rPr>
        <w:t xml:space="preserve"> </w:t>
      </w:r>
      <w:r w:rsidRPr="00CE748A">
        <w:rPr>
          <w:rFonts w:ascii="Traditional Arabic" w:hAnsi="Traditional Arabic" w:cs="Traditional Arabic"/>
          <w:sz w:val="34"/>
          <w:szCs w:val="34"/>
          <w:rtl/>
        </w:rPr>
        <w:t>دفنها تعظيمًا لأعضاء الإنسان المنفصلة منه في حال الحياة، وهي قد تكون مما لا حُرمَة له ومما يتقذَّر منه الإنسان، فكيف إذا كان ذلك في حال أن يكون اعتداءٌ على الميتِ في كليَّته أو في جميعه.</w:t>
      </w:r>
    </w:p>
    <w:p w14:paraId="1E2D6358"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المسألة التي بعدها تتعلق أيضًا بكتاب الجنائز، وهي: ما يحصل بكتابة التعليمات والإرشادات في المقابر.</w:t>
      </w:r>
    </w:p>
    <w:p w14:paraId="4E48E310" w14:textId="76ABF918"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أصل هذه المسألة: هو ما جاء في الحديث عند مسلم في صحيحه أن النبي -صَلَّى اللَّهُ عَلَيْهِ وَسَلَّمَ- "نهى أن يُكتب على القبر أو أن يُجصص"، النهي عن تجصيص القبور وتعظيمها والكتابة عليها أصل في الشريعة، منعًا للغ</w:t>
      </w:r>
      <w:r w:rsidR="00A92522"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لو</w:t>
      </w:r>
      <w:r w:rsidR="00A92522"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 xml:space="preserve"> في الموتى والتعلُّ</w:t>
      </w:r>
      <w:r w:rsidRPr="00CE748A">
        <w:rPr>
          <w:rFonts w:ascii="Traditional Arabic" w:hAnsi="Traditional Arabic" w:cs="Traditional Arabic" w:hint="cs"/>
          <w:sz w:val="34"/>
          <w:szCs w:val="34"/>
          <w:rtl/>
        </w:rPr>
        <w:t>ق</w:t>
      </w:r>
      <w:r w:rsidRPr="00CE748A">
        <w:rPr>
          <w:rFonts w:ascii="Traditional Arabic" w:hAnsi="Traditional Arabic" w:cs="Traditional Arabic"/>
          <w:sz w:val="34"/>
          <w:szCs w:val="34"/>
          <w:rtl/>
        </w:rPr>
        <w:t xml:space="preserve"> بالأموات ونحو ذلك، والكتابة على قبر الميت سواء كتابة اسمه أو التعريف به أو بعض الثناء عليه أو رثائه أو ما يشبه ذلك منهي عنه، وهذا النهي عند جمهور أهل العلم على الكراهة، وقد ذهب ثُلَّةٌ قليلة من أهل العلم إلى تحريم ذلك والتَّشديد فيه، وعلى كل حال هو منهي عنه لِمَا يُفضي من التعلق بالأموات وغيرهم، وإذا احتاج الإنسان إلى أن يتعرَّف على قبر قريبه ونحوه فيكون ذلك ببعض العلامات بدون ما كتابة، لئلَّا يحصل في ذلك المنهي عنه من الغلو في القبور والتعلُّق بها، وتمايُزها، وما يتبع ذلك من الاستهانة ببعضها، وكل ذلك مما جاء الشرع بمنعه والبُعد عنه.</w:t>
      </w:r>
    </w:p>
    <w:p w14:paraId="088CF3E8" w14:textId="18E81CB0" w:rsidR="00A92522" w:rsidRPr="00CE748A" w:rsidRDefault="008212C2" w:rsidP="00CE748A">
      <w:pPr>
        <w:rPr>
          <w:rFonts w:ascii="Traditional Arabic" w:hAnsi="Traditional Arabic" w:cs="Traditional Arabic"/>
          <w:sz w:val="34"/>
          <w:szCs w:val="34"/>
          <w:rtl/>
        </w:rPr>
      </w:pPr>
      <w:r w:rsidRPr="00CE748A">
        <w:rPr>
          <w:rFonts w:ascii="Traditional Arabic" w:hAnsi="Traditional Arabic" w:cs="Traditional Arabic"/>
          <w:sz w:val="34"/>
          <w:szCs w:val="34"/>
          <w:rtl/>
        </w:rPr>
        <w:lastRenderedPageBreak/>
        <w:t>أما التعليمات التي توجد في المقبرة، سواء كانت للجهات أو للخروج، أو لأماكن الجلوس، أو لبعض ما يُحتاج إليه مما يُدفن به الميِّتِ كَلَبِنٍ أو حجَرٍ أو ماءٍ أو غيره، فيُشار إلى الناس بلوحة مكتوبة بأن هذا يوجَد في كذا، فنقول: لا شكَّ أنَّ مثل هذه الكتابات ليست من الكتابة على القبر، وليست مما في معناه من جهة ما يحصل به من التَّعلُّق بالأموات وتعظيمهم، فيكون الأمر في ذلك أوسع وأسهل.</w:t>
      </w:r>
    </w:p>
    <w:p w14:paraId="54FDCBCF"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لكن لو كانت الكتابة في المقبرة على نحو ما يحصل من الكتابة على القبور؛ فيُمكن أن يُقال من أنه داخل في النهي والمنع منه.</w:t>
      </w:r>
    </w:p>
    <w:p w14:paraId="27809726" w14:textId="4AF42919"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مثال ذلك: لو كُتِبَ "هذه قبور الصالحين"، أو كُتِبَ "هذه الجهة قبور كذا وكذا من الأولياء وغيرهم"؛ فهذه الإشارات والكتابات مدعاةٌ إلى التعلق بهذه القبور، وما جُبل عليه كثير من الناس من التعلق بالأموات هو أصل فتنة بني آدم كما جاء ذلك في أثر ابن عباس في قصَّة صلحاء قوم نوح، وهي قصَّة مشهورة معروفة، فبناءً على ذلك: إذا كانت الكتابة في المقابر على هذا النحو، فلا شكَّ أنها تأخذ ما ذكرناه أولًا، وربما زادت على ذلك لعظم ما يتعلق بها من الغلو، وما يحصل في القلب من الميل إلى القبور والتعلق بها، والذي جاء الشرع بالنهي عنه وسدِّ بابه، حفظًا لجناب التوحيد، ومنعًا لتعلُّق الناس بغير الله -جَلَّ وَعَلَا.</w:t>
      </w:r>
    </w:p>
    <w:p w14:paraId="0B334335"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إذًا؛ هذه من المسائل التي تتعلق بكتاب الجنائز.</w:t>
      </w:r>
    </w:p>
    <w:p w14:paraId="48A5F6C9" w14:textId="6CA0CE9E"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نأتي بعد ذلك إلى جملة من المسائل التي تتعلق بكتاب </w:t>
      </w:r>
      <w:r w:rsidR="00DF7E23" w:rsidRPr="00CE748A">
        <w:rPr>
          <w:rFonts w:ascii="Traditional Arabic" w:hAnsi="Traditional Arabic" w:cs="Traditional Arabic"/>
          <w:sz w:val="34"/>
          <w:szCs w:val="34"/>
          <w:rtl/>
        </w:rPr>
        <w:t>الزَّكاة</w:t>
      </w:r>
      <w:r w:rsidRPr="00CE748A">
        <w:rPr>
          <w:rFonts w:ascii="Traditional Arabic" w:hAnsi="Traditional Arabic" w:cs="Traditional Arabic"/>
          <w:sz w:val="34"/>
          <w:szCs w:val="34"/>
          <w:rtl/>
        </w:rPr>
        <w:t>.</w:t>
      </w:r>
    </w:p>
    <w:p w14:paraId="21F94F25" w14:textId="1BADB19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والحقيقة أن في </w:t>
      </w:r>
      <w:r w:rsidR="00DF7E23" w:rsidRPr="00CE748A">
        <w:rPr>
          <w:rFonts w:ascii="Traditional Arabic" w:hAnsi="Traditional Arabic" w:cs="Traditional Arabic"/>
          <w:sz w:val="34"/>
          <w:szCs w:val="34"/>
          <w:rtl/>
        </w:rPr>
        <w:t>الزَّكاة</w:t>
      </w:r>
      <w:r w:rsidRPr="00CE748A">
        <w:rPr>
          <w:rFonts w:ascii="Traditional Arabic" w:hAnsi="Traditional Arabic" w:cs="Traditional Arabic"/>
          <w:sz w:val="34"/>
          <w:szCs w:val="34"/>
          <w:rtl/>
        </w:rPr>
        <w:t xml:space="preserve"> جُملةٌ من المسائل كثيرة فيها إشكالٌ، لكن سنأخذ نبذة من المسائل تزيد من فقه الطالب، وتعيد ما غبرَ عليه الزَّمن من نسيانٍ لأصول هذا الباب، أو الحاجة </w:t>
      </w:r>
      <w:r w:rsidR="00980310" w:rsidRPr="00CE748A">
        <w:rPr>
          <w:rFonts w:ascii="Traditional Arabic" w:hAnsi="Traditional Arabic" w:cs="Traditional Arabic" w:hint="cs"/>
          <w:sz w:val="34"/>
          <w:szCs w:val="34"/>
          <w:rtl/>
        </w:rPr>
        <w:t>إ</w:t>
      </w:r>
      <w:r w:rsidRPr="00CE748A">
        <w:rPr>
          <w:rFonts w:ascii="Traditional Arabic" w:hAnsi="Traditional Arabic" w:cs="Traditional Arabic"/>
          <w:sz w:val="34"/>
          <w:szCs w:val="34"/>
          <w:rtl/>
        </w:rPr>
        <w:t>لى ما يكثر تداعي الناس إليه اليوم وتعاطيهم له من المسال الواقعة المعاصرة في هذا الوقت.</w:t>
      </w:r>
    </w:p>
    <w:p w14:paraId="745DF4E9" w14:textId="6A2C0903"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من أهم هذه المسائل التي نحتاج </w:t>
      </w:r>
      <w:r w:rsidR="00980310" w:rsidRPr="00CE748A">
        <w:rPr>
          <w:rFonts w:ascii="Traditional Arabic" w:hAnsi="Traditional Arabic" w:cs="Traditional Arabic"/>
          <w:sz w:val="34"/>
          <w:szCs w:val="34"/>
          <w:rtl/>
        </w:rPr>
        <w:t>إلى</w:t>
      </w:r>
      <w:r w:rsidRPr="00CE748A">
        <w:rPr>
          <w:rFonts w:ascii="Traditional Arabic" w:hAnsi="Traditional Arabic" w:cs="Traditional Arabic"/>
          <w:sz w:val="34"/>
          <w:szCs w:val="34"/>
          <w:rtl/>
        </w:rPr>
        <w:t xml:space="preserve"> الحديث عنها هي: زكاة الراتب الشهري، أو زكاة الحساب الجاري.</w:t>
      </w:r>
    </w:p>
    <w:p w14:paraId="538990DE"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جدَّت في الأوقات البنوك، وصار الناس يجعلون أموالهم فيها، وصارت هذه الأموال لا تُحفَظ بأعيانها، وإنما تُحفَظ بأرقامها، فإذا طلبت مليون فربما تُعطَى المليون الذي جاء به فلان، أو المليون الذي حُفِظَ في البك وديعة لفلان، إلى غير ذلك من الأشياء.</w:t>
      </w:r>
    </w:p>
    <w:p w14:paraId="5F878929" w14:textId="7815EE9C"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lastRenderedPageBreak/>
        <w:t>وعالم البنوك عالم متطورٌ جدًّا لم يكن في سالف الأزمان، فكان في الأصل مثل هذه اللوحة أو الطاولة الذي يتبادلون من خلاله العملات، ثم تطورت حتى آلت إلى علم البنوك، وحفظ الأموال، وتوليد النقود، وما يتبع ذلك من الإقراض والاقتراض ونحوه، وللأسف لما كانت هذه الفكرة مجتلبة؛ كانت قائمة على كثير من المخالفات الشرعيَّة، أولها الربا بال</w:t>
      </w:r>
      <w:r w:rsidR="00980310" w:rsidRPr="00CE748A">
        <w:rPr>
          <w:rFonts w:ascii="Traditional Arabic" w:hAnsi="Traditional Arabic" w:cs="Traditional Arabic" w:hint="cs"/>
          <w:sz w:val="34"/>
          <w:szCs w:val="34"/>
          <w:rtl/>
        </w:rPr>
        <w:t>إ</w:t>
      </w:r>
      <w:r w:rsidRPr="00CE748A">
        <w:rPr>
          <w:rFonts w:ascii="Traditional Arabic" w:hAnsi="Traditional Arabic" w:cs="Traditional Arabic"/>
          <w:sz w:val="34"/>
          <w:szCs w:val="34"/>
          <w:rtl/>
        </w:rPr>
        <w:t>قراض والاقتراض، إلى غير ذلك من مخالفات كثيرة، فلم نزل في خير في النأي بأنفسنا في كثيرٍ من مؤسَّساتنا الماليَّة عن مواقعة المحظورات، ولم يزل كثيرٌ من الإشكالات محتفٌّ ببعض هذه التَّعاملات، نسأل الله الإعانة والسَّداد.</w:t>
      </w:r>
    </w:p>
    <w:p w14:paraId="6DA5D50A" w14:textId="5F2946A1"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عندنا زكاة الحساب الجاري وزكاة الرواتب، وهما مسألتان متقاربتان، تتفقان في كونهما لا يُحفظ فيهما عين</w:t>
      </w:r>
      <w:r w:rsidR="00A92522"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 xml:space="preserve"> المال، فلأجل ذلك كان من الصعوبة معرفة دوران الحول عليه، فإن من شروط </w:t>
      </w:r>
      <w:r w:rsidR="00DF7E23" w:rsidRPr="00CE748A">
        <w:rPr>
          <w:rFonts w:ascii="Traditional Arabic" w:hAnsi="Traditional Arabic" w:cs="Traditional Arabic"/>
          <w:sz w:val="34"/>
          <w:szCs w:val="34"/>
          <w:rtl/>
        </w:rPr>
        <w:t>الزَّكاة</w:t>
      </w:r>
      <w:r w:rsidRPr="00CE748A">
        <w:rPr>
          <w:rFonts w:ascii="Traditional Arabic" w:hAnsi="Traditional Arabic" w:cs="Traditional Arabic"/>
          <w:sz w:val="34"/>
          <w:szCs w:val="34"/>
          <w:rtl/>
        </w:rPr>
        <w:t xml:space="preserve"> دوران الحول، </w:t>
      </w:r>
      <w:r w:rsidR="0099351C" w:rsidRPr="00CE748A">
        <w:rPr>
          <w:rFonts w:ascii="Traditional Arabic" w:hAnsi="Traditional Arabic" w:cs="Traditional Arabic"/>
          <w:sz w:val="34"/>
          <w:szCs w:val="34"/>
          <w:rtl/>
        </w:rPr>
        <w:t xml:space="preserve">عن عليٍّ </w:t>
      </w:r>
      <w:r w:rsidR="0099351C" w:rsidRPr="00CE748A">
        <w:rPr>
          <w:rFonts w:ascii="Traditional Arabic" w:hAnsi="Traditional Arabic" w:cs="Traditional Arabic" w:hint="cs"/>
          <w:sz w:val="34"/>
          <w:szCs w:val="34"/>
          <w:rtl/>
        </w:rPr>
        <w:t>-</w:t>
      </w:r>
      <w:r w:rsidR="0099351C" w:rsidRPr="00CE748A">
        <w:rPr>
          <w:rFonts w:ascii="Traditional Arabic" w:hAnsi="Traditional Arabic" w:cs="Traditional Arabic"/>
          <w:sz w:val="34"/>
          <w:szCs w:val="34"/>
          <w:rtl/>
        </w:rPr>
        <w:t>رَضِيَ اللهُ عنه</w:t>
      </w:r>
      <w:r w:rsidR="0099351C" w:rsidRPr="00CE748A">
        <w:rPr>
          <w:rFonts w:ascii="Traditional Arabic" w:hAnsi="Traditional Arabic" w:cs="Traditional Arabic" w:hint="cs"/>
          <w:sz w:val="34"/>
          <w:szCs w:val="34"/>
          <w:rtl/>
        </w:rPr>
        <w:t>-</w:t>
      </w:r>
      <w:r w:rsidR="0099351C" w:rsidRPr="00CE748A">
        <w:rPr>
          <w:rFonts w:ascii="Traditional Arabic" w:hAnsi="Traditional Arabic" w:cs="Traditional Arabic"/>
          <w:sz w:val="34"/>
          <w:szCs w:val="34"/>
          <w:rtl/>
        </w:rPr>
        <w:t xml:space="preserve"> أنَّه قال</w:t>
      </w:r>
      <w:r w:rsidRPr="00CE748A">
        <w:rPr>
          <w:rFonts w:ascii="Traditional Arabic" w:hAnsi="Traditional Arabic" w:cs="Traditional Arabic"/>
          <w:sz w:val="34"/>
          <w:szCs w:val="34"/>
          <w:rtl/>
        </w:rPr>
        <w:t xml:space="preserve">: </w:t>
      </w:r>
      <w:r w:rsidR="0099351C" w:rsidRPr="00CE748A">
        <w:rPr>
          <w:rFonts w:ascii="Traditional Arabic" w:hAnsi="Traditional Arabic" w:cs="Traditional Arabic" w:hint="cs"/>
          <w:color w:val="833C0B" w:themeColor="accent2" w:themeShade="80"/>
          <w:sz w:val="34"/>
          <w:szCs w:val="34"/>
          <w:rtl/>
        </w:rPr>
        <w:t>"</w:t>
      </w:r>
      <w:r w:rsidR="0099351C" w:rsidRPr="00CE748A">
        <w:rPr>
          <w:rFonts w:ascii="Traditional Arabic" w:hAnsi="Traditional Arabic" w:cs="Traditional Arabic"/>
          <w:color w:val="833C0B" w:themeColor="accent2" w:themeShade="80"/>
          <w:sz w:val="34"/>
          <w:szCs w:val="34"/>
          <w:rtl/>
        </w:rPr>
        <w:t>ليس في مالٍ زكاةٌ حتى يحولَ عليهِ الحوْلُ</w:t>
      </w:r>
      <w:r w:rsidR="0099351C" w:rsidRPr="00CE748A">
        <w:rPr>
          <w:rFonts w:ascii="Traditional Arabic" w:hAnsi="Traditional Arabic" w:cs="Traditional Arabic" w:hint="cs"/>
          <w:color w:val="833C0B" w:themeColor="accent2" w:themeShade="80"/>
          <w:sz w:val="34"/>
          <w:szCs w:val="34"/>
          <w:rtl/>
        </w:rPr>
        <w:t>"</w:t>
      </w:r>
      <w:r w:rsidR="0099351C" w:rsidRPr="00CE748A">
        <w:rPr>
          <w:rStyle w:val="FootnoteReference"/>
          <w:rFonts w:ascii="Traditional Arabic" w:hAnsi="Traditional Arabic" w:cs="Traditional Arabic"/>
          <w:color w:val="008000"/>
          <w:sz w:val="34"/>
          <w:szCs w:val="34"/>
          <w:rtl/>
        </w:rPr>
        <w:footnoteReference w:id="4"/>
      </w:r>
      <w:r w:rsidRPr="00CE748A">
        <w:rPr>
          <w:rFonts w:ascii="Traditional Arabic" w:hAnsi="Traditional Arabic" w:cs="Traditional Arabic"/>
          <w:sz w:val="34"/>
          <w:szCs w:val="34"/>
          <w:rtl/>
        </w:rPr>
        <w:t xml:space="preserve">، كما جاء عند أهل السنن، وهو محل إجماع عند أهل العلم، إلا ما يستثنى من ذلك من زكاة الحبوب والثمار في قوله الله -جَلَّ وَعَلَا: </w:t>
      </w:r>
      <w:r w:rsidR="00AA5071" w:rsidRPr="00CE748A">
        <w:rPr>
          <w:rFonts w:ascii="Traditional Arabic" w:hAnsi="Traditional Arabic" w:cs="Traditional Arabic"/>
          <w:color w:val="FF0000"/>
          <w:sz w:val="34"/>
          <w:szCs w:val="34"/>
          <w:rtl/>
        </w:rPr>
        <w:t>﴿وَآتُوا حَقَّهُ يَوْمَ حَصَادِهِ﴾</w:t>
      </w:r>
      <w:r w:rsidRPr="00CE748A">
        <w:rPr>
          <w:rFonts w:ascii="Traditional Arabic" w:hAnsi="Traditional Arabic" w:cs="Traditional Arabic"/>
          <w:sz w:val="34"/>
          <w:szCs w:val="34"/>
          <w:rtl/>
        </w:rPr>
        <w:t xml:space="preserve"> </w:t>
      </w:r>
      <w:r w:rsidRPr="00CE748A">
        <w:rPr>
          <w:rFonts w:ascii="Traditional Arabic" w:hAnsi="Traditional Arabic" w:cs="Traditional Arabic"/>
          <w:rtl/>
        </w:rPr>
        <w:t>[الأنعام</w:t>
      </w:r>
      <w:r w:rsidR="009659AC" w:rsidRPr="00CE748A">
        <w:rPr>
          <w:rFonts w:ascii="Traditional Arabic" w:hAnsi="Traditional Arabic" w:cs="Traditional Arabic"/>
          <w:rtl/>
        </w:rPr>
        <w:t xml:space="preserve">: </w:t>
      </w:r>
      <w:r w:rsidRPr="00CE748A">
        <w:rPr>
          <w:rFonts w:ascii="Traditional Arabic" w:hAnsi="Traditional Arabic" w:cs="Traditional Arabic"/>
          <w:rtl/>
        </w:rPr>
        <w:t>141]</w:t>
      </w:r>
      <w:r w:rsidRPr="00CE748A">
        <w:rPr>
          <w:rFonts w:ascii="Traditional Arabic" w:hAnsi="Traditional Arabic" w:cs="Traditional Arabic"/>
          <w:sz w:val="34"/>
          <w:szCs w:val="34"/>
          <w:rtl/>
        </w:rPr>
        <w:t>،</w:t>
      </w:r>
      <w:r w:rsidR="00AA5071" w:rsidRPr="00CE748A">
        <w:rPr>
          <w:rFonts w:ascii="Traditional Arabic" w:hAnsi="Traditional Arabic" w:cs="Traditional Arabic" w:hint="cs"/>
          <w:sz w:val="34"/>
          <w:szCs w:val="34"/>
          <w:rtl/>
        </w:rPr>
        <w:t xml:space="preserve"> </w:t>
      </w:r>
      <w:r w:rsidRPr="00CE748A">
        <w:rPr>
          <w:rFonts w:ascii="Traditional Arabic" w:hAnsi="Traditional Arabic" w:cs="Traditional Arabic"/>
          <w:sz w:val="34"/>
          <w:szCs w:val="34"/>
          <w:rtl/>
        </w:rPr>
        <w:t>فبناءً على ذلك: كيف تُزكَّى مثل هذه الأموال؟</w:t>
      </w:r>
    </w:p>
    <w:p w14:paraId="0DEAD719" w14:textId="57D18D52"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الراتب الشهري في طريقة حسابه صعبٌ جدًّا في وجوب </w:t>
      </w:r>
      <w:r w:rsidR="00DF7E23" w:rsidRPr="00CE748A">
        <w:rPr>
          <w:rFonts w:ascii="Traditional Arabic" w:hAnsi="Traditional Arabic" w:cs="Traditional Arabic"/>
          <w:sz w:val="34"/>
          <w:szCs w:val="34"/>
          <w:rtl/>
        </w:rPr>
        <w:t>الزَّكاة</w:t>
      </w:r>
      <w:r w:rsidRPr="00CE748A">
        <w:rPr>
          <w:rFonts w:ascii="Traditional Arabic" w:hAnsi="Traditional Arabic" w:cs="Traditional Arabic"/>
          <w:sz w:val="34"/>
          <w:szCs w:val="34"/>
          <w:rtl/>
        </w:rPr>
        <w:t xml:space="preserve"> عليه، فمن المعلوم أنَّ كلما تتحصَّل عليه من المال:</w:t>
      </w:r>
    </w:p>
    <w:p w14:paraId="054A944E"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إما أن تنفقه: وهذا إشكال فيه.</w:t>
      </w:r>
    </w:p>
    <w:p w14:paraId="19282CFC" w14:textId="6280DCBF"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 وإما أن يدَّخر الإنسان جزءً منه، فإذا ادَّخر كل شهر خمسة آلاف ويصرف الباقي، فالخمسة آلاف في شهر محرم بدأ حولها في شهر محرَّم، والخمسة آلاف التي </w:t>
      </w:r>
      <w:proofErr w:type="spellStart"/>
      <w:r w:rsidRPr="00CE748A">
        <w:rPr>
          <w:rFonts w:ascii="Traditional Arabic" w:hAnsi="Traditional Arabic" w:cs="Traditional Arabic"/>
          <w:sz w:val="34"/>
          <w:szCs w:val="34"/>
          <w:rtl/>
        </w:rPr>
        <w:t>ادَّخرها</w:t>
      </w:r>
      <w:proofErr w:type="spellEnd"/>
      <w:r w:rsidRPr="00CE748A">
        <w:rPr>
          <w:rFonts w:ascii="Traditional Arabic" w:hAnsi="Traditional Arabic" w:cs="Traditional Arabic"/>
          <w:sz w:val="34"/>
          <w:szCs w:val="34"/>
          <w:rtl/>
        </w:rPr>
        <w:t xml:space="preserve"> في شهر صفر يبدأ حولها في شهر صفر، ولا يُمكن أن يُقال بأنَّ حول</w:t>
      </w:r>
      <w:r w:rsidR="00A92522"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 xml:space="preserve"> ما ادَّخرت في شهر صفر هو حول</w:t>
      </w:r>
      <w:r w:rsidR="00A92522" w:rsidRPr="00CE748A">
        <w:rPr>
          <w:rFonts w:ascii="Traditional Arabic" w:hAnsi="Traditional Arabic" w:cs="Traditional Arabic" w:hint="cs"/>
          <w:sz w:val="34"/>
          <w:szCs w:val="34"/>
          <w:rtl/>
        </w:rPr>
        <w:t>ُ</w:t>
      </w:r>
      <w:r w:rsidRPr="00CE748A">
        <w:rPr>
          <w:rFonts w:ascii="Traditional Arabic" w:hAnsi="Traditional Arabic" w:cs="Traditional Arabic"/>
          <w:sz w:val="34"/>
          <w:szCs w:val="34"/>
          <w:rtl/>
        </w:rPr>
        <w:t xml:space="preserve"> ما </w:t>
      </w:r>
      <w:proofErr w:type="spellStart"/>
      <w:r w:rsidRPr="00CE748A">
        <w:rPr>
          <w:rFonts w:ascii="Traditional Arabic" w:hAnsi="Traditional Arabic" w:cs="Traditional Arabic"/>
          <w:sz w:val="34"/>
          <w:szCs w:val="34"/>
          <w:rtl/>
        </w:rPr>
        <w:t>ادَّخرته</w:t>
      </w:r>
      <w:proofErr w:type="spellEnd"/>
      <w:r w:rsidRPr="00CE748A">
        <w:rPr>
          <w:rFonts w:ascii="Traditional Arabic" w:hAnsi="Traditional Arabic" w:cs="Traditional Arabic"/>
          <w:sz w:val="34"/>
          <w:szCs w:val="34"/>
          <w:rtl/>
        </w:rPr>
        <w:t xml:space="preserve"> في شهر محرم، لأن هذا المال ليس نماءً لذلك المال وربحًا له، فعروض التجارة أمرها يسير، باعتبار أن أصل المال بدأ فيه الحول، فما نما عليه من ربح لا يُحتاج فيه إلى حول؛ بل حوله حول أصله، لكن هذا الراتب الشهري هو نماء عملك، فأنت استحققت هذا المال بعملك، فلا ارتباط بين المالين، فكان الأصل أن لكل مدَّخر في هذه الأشهر حول ونصابٌ وزكاة مخصوصة.</w:t>
      </w:r>
    </w:p>
    <w:p w14:paraId="35527F50"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إذًا؛ كيف سيُزكي الإنسان؟</w:t>
      </w:r>
    </w:p>
    <w:p w14:paraId="38EAE9A5"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نقول: </w:t>
      </w:r>
    </w:p>
    <w:p w14:paraId="271220A8" w14:textId="30AA0D12"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lastRenderedPageBreak/>
        <w:t xml:space="preserve">الحال الأولى: إما أن يكون عند الإنسان اثنا عشر حساب، كل شهر يدخر فيه ما بقي عنده في هذا الشهر، فإذا تمَّت السنة سيعرف أن في شهر محرم فيه حساب كذا وهو نصاب تجب فيه </w:t>
      </w:r>
      <w:r w:rsidR="00DF7E23" w:rsidRPr="00CE748A">
        <w:rPr>
          <w:rFonts w:ascii="Traditional Arabic" w:hAnsi="Traditional Arabic" w:cs="Traditional Arabic"/>
          <w:sz w:val="34"/>
          <w:szCs w:val="34"/>
          <w:rtl/>
        </w:rPr>
        <w:t>الزَّكاة</w:t>
      </w:r>
      <w:r w:rsidRPr="00CE748A">
        <w:rPr>
          <w:rFonts w:ascii="Traditional Arabic" w:hAnsi="Traditional Arabic" w:cs="Traditional Arabic"/>
          <w:sz w:val="34"/>
          <w:szCs w:val="34"/>
          <w:rtl/>
        </w:rPr>
        <w:t xml:space="preserve">، وهذا شهر صفر لم يدَّخر فيه إلا ألف ريال، فهذا ليس نصابًا، وفي شهر ربيع كان ثمانية آلاف قد بلغ النصاب وسيؤدي فيها </w:t>
      </w:r>
      <w:r w:rsidR="00DF7E23" w:rsidRPr="00CE748A">
        <w:rPr>
          <w:rFonts w:ascii="Traditional Arabic" w:hAnsi="Traditional Arabic" w:cs="Traditional Arabic"/>
          <w:sz w:val="34"/>
          <w:szCs w:val="34"/>
          <w:rtl/>
        </w:rPr>
        <w:t>الزَّكاة</w:t>
      </w:r>
      <w:r w:rsidRPr="00CE748A">
        <w:rPr>
          <w:rFonts w:ascii="Traditional Arabic" w:hAnsi="Traditional Arabic" w:cs="Traditional Arabic"/>
          <w:sz w:val="34"/>
          <w:szCs w:val="34"/>
          <w:rtl/>
        </w:rPr>
        <w:t>، وهكذا..</w:t>
      </w:r>
    </w:p>
    <w:p w14:paraId="7D7B8BF8" w14:textId="1FD6F39B"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وهذا </w:t>
      </w:r>
      <w:r w:rsidR="004A7D09" w:rsidRPr="00CE748A">
        <w:rPr>
          <w:rFonts w:ascii="Traditional Arabic" w:hAnsi="Traditional Arabic" w:cs="Traditional Arabic" w:hint="cs"/>
          <w:sz w:val="34"/>
          <w:szCs w:val="34"/>
          <w:rtl/>
        </w:rPr>
        <w:t xml:space="preserve">في </w:t>
      </w:r>
      <w:r w:rsidRPr="00CE748A">
        <w:rPr>
          <w:rFonts w:ascii="Traditional Arabic" w:hAnsi="Traditional Arabic" w:cs="Traditional Arabic"/>
          <w:sz w:val="34"/>
          <w:szCs w:val="34"/>
          <w:rtl/>
        </w:rPr>
        <w:t xml:space="preserve">الحقيقة فيه صعوبة كثيرة وإشكاليَّة، فقد لا يضبط الإنسان الحساب، وقد تكثر عليه التَّداخلات، ولكن هذا هو الواجب، وأصعب من ذلك لو كان الإنسان يتعاطى أمولًا بطريقةٍ يوميَّة، فيكل يومٍ له حكم إذا انضمَّ إليه نصاب، فلا شكَّ أن مَن استطاع فعله فقد أدَّى ما عليه، وأدَّى زكاة كل مالٍ وجبت عليه </w:t>
      </w:r>
      <w:r w:rsidR="00DF7E23" w:rsidRPr="00CE748A">
        <w:rPr>
          <w:rFonts w:ascii="Traditional Arabic" w:hAnsi="Traditional Arabic" w:cs="Traditional Arabic"/>
          <w:sz w:val="34"/>
          <w:szCs w:val="34"/>
          <w:rtl/>
        </w:rPr>
        <w:t>الزَّكاة</w:t>
      </w:r>
      <w:r w:rsidRPr="00CE748A">
        <w:rPr>
          <w:rFonts w:ascii="Traditional Arabic" w:hAnsi="Traditional Arabic" w:cs="Traditional Arabic"/>
          <w:sz w:val="34"/>
          <w:szCs w:val="34"/>
          <w:rtl/>
        </w:rPr>
        <w:t xml:space="preserve"> باكتمال نصابه وحول الحول عليه.</w:t>
      </w:r>
    </w:p>
    <w:p w14:paraId="07B5991E" w14:textId="47898BC4"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 xml:space="preserve">الحال الثانية: هي الحال التي يتعاطاها كثير من أهل العلم لتعسُّر الحال الأولى وتعذُّرِ إمكانِ العلم بها، فيجعل له وقتًا واحدًا منذ بلغ النصاب عنده، فإذا كان قد بلغ النصاب في </w:t>
      </w:r>
      <w:r w:rsidR="00980310" w:rsidRPr="00CE748A">
        <w:rPr>
          <w:rFonts w:ascii="Traditional Arabic" w:hAnsi="Traditional Arabic" w:cs="Traditional Arabic" w:hint="cs"/>
          <w:sz w:val="34"/>
          <w:szCs w:val="34"/>
          <w:rtl/>
        </w:rPr>
        <w:t>عشر</w:t>
      </w:r>
      <w:r w:rsidRPr="00CE748A">
        <w:rPr>
          <w:rFonts w:ascii="Traditional Arabic" w:hAnsi="Traditional Arabic" w:cs="Traditional Arabic"/>
          <w:sz w:val="34"/>
          <w:szCs w:val="34"/>
          <w:rtl/>
        </w:rPr>
        <w:t xml:space="preserve"> من ربيع الأول؛ فإذا جاء من السنة القادمة </w:t>
      </w:r>
      <w:r w:rsidR="00980310" w:rsidRPr="00CE748A">
        <w:rPr>
          <w:rFonts w:ascii="Traditional Arabic" w:hAnsi="Traditional Arabic" w:cs="Traditional Arabic" w:hint="cs"/>
          <w:sz w:val="34"/>
          <w:szCs w:val="34"/>
          <w:rtl/>
        </w:rPr>
        <w:t>عشر</w:t>
      </w:r>
      <w:r w:rsidRPr="00CE748A">
        <w:rPr>
          <w:rFonts w:ascii="Traditional Arabic" w:hAnsi="Traditional Arabic" w:cs="Traditional Arabic"/>
          <w:sz w:val="34"/>
          <w:szCs w:val="34"/>
          <w:rtl/>
        </w:rPr>
        <w:t xml:space="preserve"> ربيع الأول أدى زكاة جميع مدَّخراته، فمنها ما يكون قد دار عليه الحول فهو مما وجبت فيه </w:t>
      </w:r>
      <w:r w:rsidR="00DF7E23" w:rsidRPr="00CE748A">
        <w:rPr>
          <w:rFonts w:ascii="Traditional Arabic" w:hAnsi="Traditional Arabic" w:cs="Traditional Arabic"/>
          <w:sz w:val="34"/>
          <w:szCs w:val="34"/>
          <w:rtl/>
        </w:rPr>
        <w:t>الزَّكاة</w:t>
      </w:r>
      <w:r w:rsidRPr="00CE748A">
        <w:rPr>
          <w:rFonts w:ascii="Traditional Arabic" w:hAnsi="Traditional Arabic" w:cs="Traditional Arabic"/>
          <w:sz w:val="34"/>
          <w:szCs w:val="34"/>
          <w:rtl/>
        </w:rPr>
        <w:t xml:space="preserve">، ومنها ما لم يدر عليه الحول لكن تكون زكاته زكاةً معجَّلة، وإن كان التعجيل ليس هو الأولى كما ذكر بعض أهل العلم، ولكن قال به العلم لمسيس الحاجة </w:t>
      </w:r>
      <w:r w:rsidR="00980310" w:rsidRPr="00CE748A">
        <w:rPr>
          <w:rFonts w:ascii="Traditional Arabic" w:hAnsi="Traditional Arabic" w:cs="Traditional Arabic"/>
          <w:sz w:val="34"/>
          <w:szCs w:val="34"/>
          <w:rtl/>
        </w:rPr>
        <w:t>إلى</w:t>
      </w:r>
      <w:r w:rsidRPr="00CE748A">
        <w:rPr>
          <w:rFonts w:ascii="Traditional Arabic" w:hAnsi="Traditional Arabic" w:cs="Traditional Arabic"/>
          <w:sz w:val="34"/>
          <w:szCs w:val="34"/>
          <w:rtl/>
        </w:rPr>
        <w:t xml:space="preserve"> ذلك، أو لكونها ضرورة لعدم إمكان قدرة الإنسان </w:t>
      </w:r>
      <w:r w:rsidR="00980310" w:rsidRPr="00CE748A">
        <w:rPr>
          <w:rFonts w:ascii="Traditional Arabic" w:hAnsi="Traditional Arabic" w:cs="Traditional Arabic"/>
          <w:sz w:val="34"/>
          <w:szCs w:val="34"/>
          <w:rtl/>
        </w:rPr>
        <w:t>ع</w:t>
      </w:r>
      <w:r w:rsidRPr="00CE748A">
        <w:rPr>
          <w:rFonts w:ascii="Traditional Arabic" w:hAnsi="Traditional Arabic" w:cs="Traditional Arabic"/>
          <w:sz w:val="34"/>
          <w:szCs w:val="34"/>
          <w:rtl/>
        </w:rPr>
        <w:t xml:space="preserve">لى الإحاطة بتفاصيل تلك الأموال </w:t>
      </w:r>
      <w:proofErr w:type="spellStart"/>
      <w:r w:rsidRPr="00CE748A">
        <w:rPr>
          <w:rFonts w:ascii="Traditional Arabic" w:hAnsi="Traditional Arabic" w:cs="Traditional Arabic"/>
          <w:sz w:val="34"/>
          <w:szCs w:val="34"/>
          <w:rtl/>
        </w:rPr>
        <w:t>ودخولاتها</w:t>
      </w:r>
      <w:proofErr w:type="spellEnd"/>
      <w:r w:rsidRPr="00CE748A">
        <w:rPr>
          <w:rFonts w:ascii="Traditional Arabic" w:hAnsi="Traditional Arabic" w:cs="Traditional Arabic"/>
          <w:sz w:val="34"/>
          <w:szCs w:val="34"/>
          <w:rtl/>
        </w:rPr>
        <w:t>، وما بقي منها وبلوغه النصاب وحول الحول عليها.</w:t>
      </w:r>
    </w:p>
    <w:p w14:paraId="5CBFB64A"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ويُمكن أن يكون عنده ورقة، كلما ادَّخر شيئًا كتب تاريخه، ثم إذا انضمَّ إليه شيء كتبه بتاريخه، وينظر ما الذي بلغ النصاب ويؤدي زكاته، وهي -كما قلنا- عمليَّة فيها صعوبةٌ إلى حدٍّ ما.</w:t>
      </w:r>
    </w:p>
    <w:p w14:paraId="41C11D09" w14:textId="77777777" w:rsidR="008212C2" w:rsidRPr="00CE748A" w:rsidRDefault="008212C2" w:rsidP="008212C2">
      <w:pPr>
        <w:rPr>
          <w:rFonts w:ascii="Traditional Arabic" w:hAnsi="Traditional Arabic" w:cs="Traditional Arabic"/>
          <w:sz w:val="34"/>
          <w:szCs w:val="34"/>
          <w:rtl/>
        </w:rPr>
      </w:pPr>
      <w:r w:rsidRPr="00CE748A">
        <w:rPr>
          <w:rFonts w:ascii="Traditional Arabic" w:hAnsi="Traditional Arabic" w:cs="Traditional Arabic"/>
          <w:sz w:val="34"/>
          <w:szCs w:val="34"/>
          <w:rtl/>
        </w:rPr>
        <w:t>هذا ما يتعلق بزكاة الراتب الشهري، ولعلنا نكون -بإذن الله- أنهينا ما يتعلق بهذه المسألة، وإن كنَّا سنحتاج إلى إعادتها بشكل مختصر مع الكلام على الحساب الجاري في مستهل الحلقة القادمة.</w:t>
      </w:r>
    </w:p>
    <w:p w14:paraId="5CD7CC91" w14:textId="2883A82E" w:rsidR="00684C6E" w:rsidRPr="008212C2" w:rsidRDefault="008212C2" w:rsidP="008212C2">
      <w:pPr>
        <w:rPr>
          <w:rFonts w:ascii="Traditional Arabic" w:hAnsi="Traditional Arabic" w:cs="Traditional Arabic"/>
          <w:sz w:val="34"/>
          <w:szCs w:val="34"/>
        </w:rPr>
      </w:pPr>
      <w:r w:rsidRPr="00CE748A">
        <w:rPr>
          <w:rFonts w:ascii="Traditional Arabic" w:hAnsi="Traditional Arabic" w:cs="Traditional Arabic"/>
          <w:sz w:val="34"/>
          <w:szCs w:val="34"/>
          <w:rtl/>
        </w:rPr>
        <w:t>أسأل الله لي ولكم التوفيق والسداد والإعانة والخير والرشاد، وأن يغفر لي ولكم ولجميع المسلمين، وآخر دعوانا أن الحمد لله ربِّ العالمين.</w:t>
      </w:r>
    </w:p>
    <w:sectPr w:rsidR="00684C6E" w:rsidRPr="008212C2" w:rsidSect="00AA0C57">
      <w:footerReference w:type="default" r:id="rId6"/>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1CB0" w14:textId="77777777" w:rsidR="005E7B97" w:rsidRDefault="005E7B97" w:rsidP="001F11A5">
      <w:pPr>
        <w:spacing w:before="0"/>
      </w:pPr>
      <w:r>
        <w:separator/>
      </w:r>
    </w:p>
  </w:endnote>
  <w:endnote w:type="continuationSeparator" w:id="0">
    <w:p w14:paraId="1FE1DFC6" w14:textId="77777777" w:rsidR="005E7B97" w:rsidRDefault="005E7B97" w:rsidP="001F11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9399236"/>
      <w:docPartObj>
        <w:docPartGallery w:val="Page Numbers (Bottom of Page)"/>
        <w:docPartUnique/>
      </w:docPartObj>
    </w:sdtPr>
    <w:sdtEndPr>
      <w:rPr>
        <w:noProof/>
      </w:rPr>
    </w:sdtEndPr>
    <w:sdtContent>
      <w:p w14:paraId="34AC7D09" w14:textId="000FE088" w:rsidR="004A7D09" w:rsidRDefault="004A7D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BC879" w14:textId="77777777" w:rsidR="004A7D09" w:rsidRDefault="004A7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6764" w14:textId="77777777" w:rsidR="005E7B97" w:rsidRDefault="005E7B97" w:rsidP="001F11A5">
      <w:pPr>
        <w:spacing w:before="0"/>
      </w:pPr>
      <w:r>
        <w:separator/>
      </w:r>
    </w:p>
  </w:footnote>
  <w:footnote w:type="continuationSeparator" w:id="0">
    <w:p w14:paraId="7FF68716" w14:textId="77777777" w:rsidR="005E7B97" w:rsidRDefault="005E7B97" w:rsidP="001F11A5">
      <w:pPr>
        <w:spacing w:before="0"/>
      </w:pPr>
      <w:r>
        <w:continuationSeparator/>
      </w:r>
    </w:p>
  </w:footnote>
  <w:footnote w:id="1">
    <w:p w14:paraId="067F6015" w14:textId="676FC3DF" w:rsidR="001F11A5" w:rsidRPr="0099351C" w:rsidRDefault="001F11A5">
      <w:pPr>
        <w:pStyle w:val="FootnoteText"/>
        <w:rPr>
          <w:rFonts w:ascii="Traditional Arabic" w:hAnsi="Traditional Arabic" w:cs="Traditional Arabic"/>
          <w:rtl/>
        </w:rPr>
      </w:pPr>
      <w:r w:rsidRPr="0099351C">
        <w:rPr>
          <w:rStyle w:val="FootnoteReference"/>
          <w:rFonts w:ascii="Traditional Arabic" w:hAnsi="Traditional Arabic" w:cs="Traditional Arabic"/>
        </w:rPr>
        <w:footnoteRef/>
      </w:r>
      <w:r w:rsidRPr="0099351C">
        <w:rPr>
          <w:rFonts w:ascii="Traditional Arabic" w:hAnsi="Traditional Arabic" w:cs="Traditional Arabic"/>
          <w:rtl/>
        </w:rPr>
        <w:t xml:space="preserve"> صحيح البخاري (1048).</w:t>
      </w:r>
    </w:p>
  </w:footnote>
  <w:footnote w:id="2">
    <w:p w14:paraId="54B7CAE8" w14:textId="5F1A763A" w:rsidR="001F11A5" w:rsidRPr="0099351C" w:rsidRDefault="001F11A5">
      <w:pPr>
        <w:pStyle w:val="FootnoteText"/>
        <w:rPr>
          <w:rFonts w:ascii="Traditional Arabic" w:hAnsi="Traditional Arabic" w:cs="Traditional Arabic"/>
          <w:rtl/>
        </w:rPr>
      </w:pPr>
      <w:r w:rsidRPr="0099351C">
        <w:rPr>
          <w:rStyle w:val="FootnoteReference"/>
          <w:rFonts w:ascii="Traditional Arabic" w:hAnsi="Traditional Arabic" w:cs="Traditional Arabic"/>
        </w:rPr>
        <w:footnoteRef/>
      </w:r>
      <w:r w:rsidRPr="0099351C">
        <w:rPr>
          <w:rFonts w:ascii="Traditional Arabic" w:hAnsi="Traditional Arabic" w:cs="Traditional Arabic"/>
          <w:rtl/>
        </w:rPr>
        <w:t xml:space="preserve"> صحيح البخاري (5785).</w:t>
      </w:r>
    </w:p>
  </w:footnote>
  <w:footnote w:id="3">
    <w:p w14:paraId="452DB04F" w14:textId="4C68AD23" w:rsidR="0099351C" w:rsidRPr="0099351C" w:rsidRDefault="0099351C">
      <w:pPr>
        <w:pStyle w:val="FootnoteText"/>
        <w:rPr>
          <w:rFonts w:ascii="Traditional Arabic" w:hAnsi="Traditional Arabic" w:cs="Traditional Arabic"/>
        </w:rPr>
      </w:pPr>
      <w:r w:rsidRPr="0099351C">
        <w:rPr>
          <w:rStyle w:val="FootnoteReference"/>
          <w:rFonts w:ascii="Traditional Arabic" w:hAnsi="Traditional Arabic" w:cs="Traditional Arabic"/>
        </w:rPr>
        <w:footnoteRef/>
      </w:r>
      <w:r w:rsidRPr="0099351C">
        <w:rPr>
          <w:rFonts w:ascii="Traditional Arabic" w:hAnsi="Traditional Arabic" w:cs="Traditional Arabic"/>
          <w:rtl/>
        </w:rPr>
        <w:t xml:space="preserve"> صحيح ابن ماجه (1320)، صحيح أبي داود (3207).</w:t>
      </w:r>
    </w:p>
  </w:footnote>
  <w:footnote w:id="4">
    <w:p w14:paraId="459550C0" w14:textId="69BCE124" w:rsidR="0099351C" w:rsidRPr="0099351C" w:rsidRDefault="0099351C">
      <w:pPr>
        <w:pStyle w:val="FootnoteText"/>
        <w:rPr>
          <w:rFonts w:ascii="Traditional Arabic" w:hAnsi="Traditional Arabic" w:cs="Traditional Arabic"/>
        </w:rPr>
      </w:pPr>
      <w:r w:rsidRPr="0099351C">
        <w:rPr>
          <w:rStyle w:val="FootnoteReference"/>
          <w:rFonts w:ascii="Traditional Arabic" w:hAnsi="Traditional Arabic" w:cs="Traditional Arabic"/>
        </w:rPr>
        <w:footnoteRef/>
      </w:r>
      <w:r w:rsidRPr="0099351C">
        <w:rPr>
          <w:rFonts w:ascii="Traditional Arabic" w:hAnsi="Traditional Arabic" w:cs="Traditional Arabic"/>
          <w:rtl/>
        </w:rPr>
        <w:t xml:space="preserve"> مسند أحمد (2/311)، صححه أحمد شاكر.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00"/>
    <w:rsid w:val="000B091A"/>
    <w:rsid w:val="001B623A"/>
    <w:rsid w:val="001F11A5"/>
    <w:rsid w:val="002708C4"/>
    <w:rsid w:val="00420093"/>
    <w:rsid w:val="004A7D09"/>
    <w:rsid w:val="00510D06"/>
    <w:rsid w:val="005347C2"/>
    <w:rsid w:val="005E7B97"/>
    <w:rsid w:val="00684C6E"/>
    <w:rsid w:val="008212C2"/>
    <w:rsid w:val="00932420"/>
    <w:rsid w:val="009659AC"/>
    <w:rsid w:val="00980310"/>
    <w:rsid w:val="0099351C"/>
    <w:rsid w:val="00A92522"/>
    <w:rsid w:val="00AA0C57"/>
    <w:rsid w:val="00AA5071"/>
    <w:rsid w:val="00AE11F7"/>
    <w:rsid w:val="00CE748A"/>
    <w:rsid w:val="00CF0800"/>
    <w:rsid w:val="00D4503E"/>
    <w:rsid w:val="00D822DE"/>
    <w:rsid w:val="00DB4405"/>
    <w:rsid w:val="00DF7E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DA2E"/>
  <w15:chartTrackingRefBased/>
  <w15:docId w15:val="{448612CA-8E89-4FCB-AFC2-CCAC6202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120"/>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11A5"/>
    <w:pPr>
      <w:spacing w:before="0"/>
    </w:pPr>
    <w:rPr>
      <w:sz w:val="20"/>
      <w:szCs w:val="20"/>
    </w:rPr>
  </w:style>
  <w:style w:type="character" w:customStyle="1" w:styleId="FootnoteTextChar">
    <w:name w:val="Footnote Text Char"/>
    <w:basedOn w:val="DefaultParagraphFont"/>
    <w:link w:val="FootnoteText"/>
    <w:uiPriority w:val="99"/>
    <w:semiHidden/>
    <w:rsid w:val="001F11A5"/>
    <w:rPr>
      <w:sz w:val="20"/>
      <w:szCs w:val="20"/>
    </w:rPr>
  </w:style>
  <w:style w:type="character" w:styleId="FootnoteReference">
    <w:name w:val="footnote reference"/>
    <w:basedOn w:val="DefaultParagraphFont"/>
    <w:uiPriority w:val="99"/>
    <w:semiHidden/>
    <w:unhideWhenUsed/>
    <w:rsid w:val="001F11A5"/>
    <w:rPr>
      <w:vertAlign w:val="superscript"/>
    </w:rPr>
  </w:style>
  <w:style w:type="paragraph" w:styleId="Header">
    <w:name w:val="header"/>
    <w:basedOn w:val="Normal"/>
    <w:link w:val="HeaderChar"/>
    <w:uiPriority w:val="99"/>
    <w:unhideWhenUsed/>
    <w:rsid w:val="004A7D09"/>
    <w:pPr>
      <w:tabs>
        <w:tab w:val="center" w:pos="4320"/>
        <w:tab w:val="right" w:pos="8640"/>
      </w:tabs>
      <w:spacing w:before="0"/>
    </w:pPr>
  </w:style>
  <w:style w:type="character" w:customStyle="1" w:styleId="HeaderChar">
    <w:name w:val="Header Char"/>
    <w:basedOn w:val="DefaultParagraphFont"/>
    <w:link w:val="Header"/>
    <w:uiPriority w:val="99"/>
    <w:rsid w:val="004A7D09"/>
  </w:style>
  <w:style w:type="paragraph" w:styleId="Footer">
    <w:name w:val="footer"/>
    <w:basedOn w:val="Normal"/>
    <w:link w:val="FooterChar"/>
    <w:uiPriority w:val="99"/>
    <w:unhideWhenUsed/>
    <w:rsid w:val="004A7D09"/>
    <w:pPr>
      <w:tabs>
        <w:tab w:val="center" w:pos="4320"/>
        <w:tab w:val="right" w:pos="8640"/>
      </w:tabs>
      <w:spacing w:before="0"/>
    </w:pPr>
  </w:style>
  <w:style w:type="character" w:customStyle="1" w:styleId="FooterChar">
    <w:name w:val="Footer Char"/>
    <w:basedOn w:val="DefaultParagraphFont"/>
    <w:link w:val="Footer"/>
    <w:uiPriority w:val="99"/>
    <w:rsid w:val="004A7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13</Pages>
  <Words>3657</Words>
  <Characters>20848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AlBaRaa</cp:lastModifiedBy>
  <cp:revision>21</cp:revision>
  <dcterms:created xsi:type="dcterms:W3CDTF">2021-07-06T21:37:00Z</dcterms:created>
  <dcterms:modified xsi:type="dcterms:W3CDTF">2021-07-09T19:46:00Z</dcterms:modified>
</cp:coreProperties>
</file>