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EBE" w:rsidRPr="00A15F00" w:rsidRDefault="00483EBE" w:rsidP="00566235">
      <w:pPr>
        <w:spacing w:before="120" w:after="0" w:line="240" w:lineRule="auto"/>
        <w:ind w:firstLine="720"/>
        <w:jc w:val="center"/>
        <w:rPr>
          <w:rFonts w:ascii="Traditional Arabic" w:hAnsi="Traditional Arabic" w:cs="Traditional Arabic"/>
          <w:b/>
          <w:bCs/>
          <w:color w:val="FF0000"/>
          <w:sz w:val="44"/>
          <w:szCs w:val="44"/>
          <w:rtl/>
        </w:rPr>
      </w:pPr>
      <w:bookmarkStart w:id="0" w:name="_GoBack"/>
      <w:bookmarkEnd w:id="0"/>
      <w:r w:rsidRPr="00A15F00">
        <w:rPr>
          <w:rFonts w:ascii="Traditional Arabic" w:hAnsi="Traditional Arabic" w:cs="Traditional Arabic" w:hint="cs"/>
          <w:b/>
          <w:bCs/>
          <w:color w:val="FF0000"/>
          <w:sz w:val="44"/>
          <w:szCs w:val="44"/>
          <w:rtl/>
        </w:rPr>
        <w:t>عمدة الفقه (7)</w:t>
      </w:r>
    </w:p>
    <w:p w:rsidR="00483EBE" w:rsidRPr="00A15F00" w:rsidRDefault="00483EBE" w:rsidP="00566235">
      <w:pPr>
        <w:spacing w:before="120" w:after="0" w:line="240" w:lineRule="auto"/>
        <w:ind w:firstLine="720"/>
        <w:jc w:val="center"/>
        <w:rPr>
          <w:rFonts w:ascii="Traditional Arabic" w:hAnsi="Traditional Arabic" w:cs="Traditional Arabic"/>
          <w:b/>
          <w:bCs/>
          <w:color w:val="0000CC"/>
          <w:sz w:val="44"/>
          <w:szCs w:val="44"/>
          <w:rtl/>
        </w:rPr>
      </w:pPr>
      <w:r w:rsidRPr="00A15F00">
        <w:rPr>
          <w:rFonts w:ascii="Traditional Arabic" w:hAnsi="Traditional Arabic" w:cs="Traditional Arabic" w:hint="cs"/>
          <w:b/>
          <w:bCs/>
          <w:color w:val="0000CC"/>
          <w:sz w:val="44"/>
          <w:szCs w:val="44"/>
          <w:rtl/>
        </w:rPr>
        <w:t>الدرس ال</w:t>
      </w:r>
      <w:r>
        <w:rPr>
          <w:rFonts w:ascii="Traditional Arabic" w:hAnsi="Traditional Arabic" w:cs="Traditional Arabic" w:hint="cs"/>
          <w:b/>
          <w:bCs/>
          <w:color w:val="0000CC"/>
          <w:sz w:val="44"/>
          <w:szCs w:val="44"/>
          <w:rtl/>
        </w:rPr>
        <w:t>ثالث وال</w:t>
      </w:r>
      <w:r w:rsidRPr="00A15F00">
        <w:rPr>
          <w:rFonts w:ascii="Traditional Arabic" w:hAnsi="Traditional Arabic" w:cs="Traditional Arabic" w:hint="cs"/>
          <w:b/>
          <w:bCs/>
          <w:color w:val="0000CC"/>
          <w:sz w:val="44"/>
          <w:szCs w:val="44"/>
          <w:rtl/>
        </w:rPr>
        <w:t>عشرون (2</w:t>
      </w:r>
      <w:r>
        <w:rPr>
          <w:rFonts w:ascii="Traditional Arabic" w:hAnsi="Traditional Arabic" w:cs="Traditional Arabic" w:hint="cs"/>
          <w:b/>
          <w:bCs/>
          <w:color w:val="0000CC"/>
          <w:sz w:val="44"/>
          <w:szCs w:val="44"/>
          <w:rtl/>
        </w:rPr>
        <w:t>3</w:t>
      </w:r>
      <w:r w:rsidRPr="00A15F00">
        <w:rPr>
          <w:rFonts w:ascii="Traditional Arabic" w:hAnsi="Traditional Arabic" w:cs="Traditional Arabic" w:hint="cs"/>
          <w:b/>
          <w:bCs/>
          <w:color w:val="0000CC"/>
          <w:sz w:val="44"/>
          <w:szCs w:val="44"/>
          <w:rtl/>
        </w:rPr>
        <w:t>)</w:t>
      </w:r>
    </w:p>
    <w:p w:rsidR="00483EBE" w:rsidRPr="00A15F00" w:rsidRDefault="00483EBE" w:rsidP="00566235">
      <w:pPr>
        <w:spacing w:before="120" w:after="0" w:line="240" w:lineRule="auto"/>
        <w:ind w:firstLine="720"/>
        <w:jc w:val="right"/>
        <w:rPr>
          <w:rFonts w:ascii="Traditional Arabic" w:hAnsi="Traditional Arabic" w:cs="Traditional Arabic"/>
          <w:b/>
          <w:bCs/>
          <w:color w:val="006600"/>
          <w:sz w:val="24"/>
          <w:szCs w:val="24"/>
          <w:rtl/>
        </w:rPr>
      </w:pPr>
      <w:r w:rsidRPr="00A15F00">
        <w:rPr>
          <w:rFonts w:ascii="Traditional Arabic" w:hAnsi="Traditional Arabic" w:cs="Traditional Arabic" w:hint="cs"/>
          <w:b/>
          <w:bCs/>
          <w:color w:val="006600"/>
          <w:sz w:val="24"/>
          <w:szCs w:val="24"/>
          <w:rtl/>
        </w:rPr>
        <w:t>فضيلة الشيخ/ د. عبدالحكيم العجلان</w:t>
      </w:r>
    </w:p>
    <w:p w:rsidR="00A05229" w:rsidRPr="00AF11FE" w:rsidRDefault="00A05229" w:rsidP="00566235">
      <w:pPr>
        <w:spacing w:before="120" w:after="0" w:line="240" w:lineRule="auto"/>
        <w:ind w:firstLine="720"/>
        <w:jc w:val="both"/>
        <w:rPr>
          <w:rFonts w:cs="Traditional Arabic"/>
          <w:sz w:val="34"/>
          <w:szCs w:val="34"/>
          <w:rtl/>
        </w:rPr>
      </w:pPr>
      <w:r w:rsidRPr="00AF11FE">
        <w:rPr>
          <w:rFonts w:cs="Traditional Arabic"/>
          <w:sz w:val="34"/>
          <w:szCs w:val="34"/>
          <w:rtl/>
        </w:rPr>
        <w:t>{بسم الله الرحمن الرحيم.</w:t>
      </w:r>
    </w:p>
    <w:p w:rsidR="00A05229" w:rsidRPr="00AF11FE" w:rsidRDefault="00A05229" w:rsidP="00566235">
      <w:pPr>
        <w:spacing w:before="120" w:after="0" w:line="240" w:lineRule="auto"/>
        <w:ind w:firstLine="720"/>
        <w:jc w:val="both"/>
        <w:rPr>
          <w:rFonts w:cs="Traditional Arabic"/>
          <w:sz w:val="34"/>
          <w:szCs w:val="34"/>
          <w:rtl/>
        </w:rPr>
      </w:pPr>
      <w:r w:rsidRPr="00AF11FE">
        <w:rPr>
          <w:rFonts w:cs="Traditional Arabic"/>
          <w:sz w:val="34"/>
          <w:szCs w:val="34"/>
          <w:rtl/>
        </w:rPr>
        <w:t>السَّلام عليكم ورحمة الله وبركاته.</w:t>
      </w:r>
    </w:p>
    <w:p w:rsidR="00A05229" w:rsidRPr="00AF11FE" w:rsidRDefault="00A05229" w:rsidP="00566235">
      <w:pPr>
        <w:spacing w:before="120" w:after="0" w:line="240" w:lineRule="auto"/>
        <w:ind w:firstLine="720"/>
        <w:jc w:val="both"/>
        <w:rPr>
          <w:rFonts w:cs="Traditional Arabic"/>
          <w:sz w:val="34"/>
          <w:szCs w:val="34"/>
          <w:rtl/>
        </w:rPr>
      </w:pPr>
      <w:r w:rsidRPr="00AF11FE">
        <w:rPr>
          <w:rFonts w:cs="Traditional Arabic"/>
          <w:sz w:val="34"/>
          <w:szCs w:val="34"/>
          <w:rtl/>
        </w:rPr>
        <w:t>أرحبُ بكم إخواني وأخواتي المشاهدين الأعزَّاء في حلقةٍ جديدةٍ مِن حلقاتِ البناء العلمي، وأرحب بفضيلة الشَّيخ الدكتور/ عبد الحكيم بن محمد العجلان، فأهلًا وسهلًا بكم فضيلة الشَّيخ}.</w:t>
      </w:r>
    </w:p>
    <w:p w:rsidR="00A05229" w:rsidRPr="00AF11FE" w:rsidRDefault="00A05229" w:rsidP="00566235">
      <w:pPr>
        <w:spacing w:before="120" w:after="0" w:line="240" w:lineRule="auto"/>
        <w:ind w:firstLine="720"/>
        <w:jc w:val="both"/>
        <w:rPr>
          <w:rFonts w:cs="Traditional Arabic"/>
          <w:sz w:val="34"/>
          <w:szCs w:val="34"/>
          <w:rtl/>
        </w:rPr>
      </w:pPr>
      <w:r w:rsidRPr="00AF11FE">
        <w:rPr>
          <w:rFonts w:cs="Traditional Arabic"/>
          <w:sz w:val="34"/>
          <w:szCs w:val="34"/>
          <w:rtl/>
        </w:rPr>
        <w:t>أهلًا وسهلًا، حيَّاكَ الله، وحيَّا الله الإخوة المشاهدين والمشاهدات، وأقام الله هذا البناء على علمٍ وه</w:t>
      </w:r>
      <w:r w:rsidR="00566235">
        <w:rPr>
          <w:rFonts w:cs="Traditional Arabic" w:hint="cs"/>
          <w:sz w:val="34"/>
          <w:szCs w:val="34"/>
          <w:rtl/>
        </w:rPr>
        <w:t>ُ</w:t>
      </w:r>
      <w:r w:rsidRPr="00AF11FE">
        <w:rPr>
          <w:rFonts w:cs="Traditional Arabic"/>
          <w:sz w:val="34"/>
          <w:szCs w:val="34"/>
          <w:rtl/>
        </w:rPr>
        <w:t>دًى وخيرٍ وتُقًى.</w:t>
      </w:r>
    </w:p>
    <w:p w:rsidR="00A05229" w:rsidRPr="00AF11FE" w:rsidRDefault="00A05229" w:rsidP="00566235">
      <w:pPr>
        <w:spacing w:before="120" w:after="0" w:line="240" w:lineRule="auto"/>
        <w:ind w:firstLine="720"/>
        <w:jc w:val="both"/>
        <w:rPr>
          <w:rFonts w:cs="Traditional Arabic"/>
          <w:sz w:val="34"/>
          <w:szCs w:val="34"/>
          <w:rtl/>
        </w:rPr>
      </w:pPr>
      <w:r w:rsidRPr="00AF11FE">
        <w:rPr>
          <w:rFonts w:cs="Traditional Arabic"/>
          <w:sz w:val="34"/>
          <w:szCs w:val="34"/>
          <w:rtl/>
        </w:rPr>
        <w:t>{نشرع في هذه الحلقة -بإذن الله- من قول الموفَّق ابن قدامة</w:t>
      </w:r>
      <w:r w:rsidR="00AF11FE">
        <w:rPr>
          <w:rFonts w:cs="Traditional Arabic"/>
          <w:sz w:val="34"/>
          <w:szCs w:val="34"/>
          <w:rtl/>
        </w:rPr>
        <w:t xml:space="preserve"> </w:t>
      </w:r>
      <w:r w:rsidRPr="00AF11FE">
        <w:rPr>
          <w:rFonts w:cs="Traditional Arabic"/>
          <w:sz w:val="34"/>
          <w:szCs w:val="34"/>
          <w:rtl/>
        </w:rPr>
        <w:t xml:space="preserve">-رَحِمَهُ اللهُ تَعَالَى: </w:t>
      </w:r>
      <w:r w:rsidRPr="00483EBE">
        <w:rPr>
          <w:rFonts w:cs="Traditional Arabic"/>
          <w:color w:val="0000FF"/>
          <w:sz w:val="34"/>
          <w:szCs w:val="34"/>
          <w:rtl/>
        </w:rPr>
        <w:t>(ثُمَّ الْمُوْضِحَةُ، وَهِيَ الَّتِيْ وَصَلَتْ إِلى اْلعَظْمِ، وَفِيْهَا خَمْسٌ مِنَ اْلإِبِلِ، وَاْلقِصَاصُ إِذاَ كَانَتْ عَمْدًا)</w:t>
      </w:r>
      <w:r w:rsidRPr="00AF11FE">
        <w:rPr>
          <w:rFonts w:cs="Traditional Arabic"/>
          <w:sz w:val="34"/>
          <w:szCs w:val="34"/>
          <w:rtl/>
        </w:rPr>
        <w:t>}.</w:t>
      </w:r>
    </w:p>
    <w:p w:rsidR="00A05229" w:rsidRPr="00AF11FE" w:rsidRDefault="00A05229" w:rsidP="00566235">
      <w:pPr>
        <w:spacing w:before="120" w:after="0" w:line="240" w:lineRule="auto"/>
        <w:ind w:firstLine="720"/>
        <w:jc w:val="both"/>
        <w:rPr>
          <w:rFonts w:cs="Traditional Arabic"/>
          <w:sz w:val="34"/>
          <w:szCs w:val="34"/>
          <w:rtl/>
        </w:rPr>
      </w:pPr>
      <w:r w:rsidRPr="00AF11FE">
        <w:rPr>
          <w:rFonts w:cs="Traditional Arabic"/>
          <w:sz w:val="34"/>
          <w:szCs w:val="34"/>
          <w:rtl/>
        </w:rPr>
        <w:t>الحمد لله ربِّ العالمين، وصلَّى الله وسلَّم وباركَ على نبيِّنا محمدٍ وعلى آله وأصحابه وسلَّمَ تسليمًا كثيرًا إلى يوم الدين.</w:t>
      </w:r>
    </w:p>
    <w:p w:rsidR="00A05229" w:rsidRPr="00AF11FE" w:rsidRDefault="00A05229" w:rsidP="00566235">
      <w:pPr>
        <w:spacing w:before="120" w:after="0" w:line="240" w:lineRule="auto"/>
        <w:ind w:firstLine="720"/>
        <w:jc w:val="both"/>
        <w:rPr>
          <w:rFonts w:cs="Traditional Arabic"/>
          <w:sz w:val="34"/>
          <w:szCs w:val="34"/>
          <w:rtl/>
        </w:rPr>
      </w:pPr>
      <w:r w:rsidRPr="00AF11FE">
        <w:rPr>
          <w:rFonts w:cs="Traditional Arabic"/>
          <w:sz w:val="34"/>
          <w:szCs w:val="34"/>
          <w:rtl/>
        </w:rPr>
        <w:t>أمَّا بعدُ؛ فأسأل الله</w:t>
      </w:r>
      <w:r w:rsidR="00AF11FE">
        <w:rPr>
          <w:rFonts w:cs="Traditional Arabic"/>
          <w:sz w:val="34"/>
          <w:szCs w:val="34"/>
          <w:rtl/>
        </w:rPr>
        <w:t xml:space="preserve"> </w:t>
      </w:r>
      <w:r w:rsidRPr="00AF11FE">
        <w:rPr>
          <w:rFonts w:cs="Traditional Arabic"/>
          <w:sz w:val="34"/>
          <w:szCs w:val="34"/>
          <w:rtl/>
        </w:rPr>
        <w:t>-جَلَّ وَعَلَا- أن يُتمَّ علينا وعليكم نِعمه، وأن يُبلِّغنا طاعته، وأن يجعلنا من أهل فضله، وأن يُفيضَ علينا من رَحماته، وأن يغفر لنا ولوالدينا ولأزواجنا</w:t>
      </w:r>
      <w:r w:rsidR="00AF11FE">
        <w:rPr>
          <w:rFonts w:cs="Traditional Arabic"/>
          <w:sz w:val="34"/>
          <w:szCs w:val="34"/>
          <w:rtl/>
        </w:rPr>
        <w:t xml:space="preserve"> </w:t>
      </w:r>
      <w:r w:rsidRPr="00AF11FE">
        <w:rPr>
          <w:rFonts w:cs="Traditional Arabic"/>
          <w:sz w:val="34"/>
          <w:szCs w:val="34"/>
          <w:rtl/>
        </w:rPr>
        <w:t>وذرياتنا وأحبابنا والمسلمين.</w:t>
      </w:r>
    </w:p>
    <w:p w:rsidR="00A05229" w:rsidRPr="00AF11FE" w:rsidRDefault="00566235" w:rsidP="00566235">
      <w:pPr>
        <w:spacing w:before="120" w:after="0" w:line="240" w:lineRule="auto"/>
        <w:ind w:firstLine="720"/>
        <w:jc w:val="both"/>
        <w:rPr>
          <w:rFonts w:cs="Traditional Arabic"/>
          <w:sz w:val="34"/>
          <w:szCs w:val="34"/>
          <w:rtl/>
        </w:rPr>
      </w:pPr>
      <w:r>
        <w:rPr>
          <w:rFonts w:cs="Traditional Arabic"/>
          <w:sz w:val="34"/>
          <w:szCs w:val="34"/>
          <w:rtl/>
        </w:rPr>
        <w:t>كنَّا في الدرس الما</w:t>
      </w:r>
      <w:r>
        <w:rPr>
          <w:rFonts w:cs="Traditional Arabic" w:hint="cs"/>
          <w:sz w:val="34"/>
          <w:szCs w:val="34"/>
          <w:rtl/>
        </w:rPr>
        <w:t>ض</w:t>
      </w:r>
      <w:r w:rsidR="00A05229" w:rsidRPr="00AF11FE">
        <w:rPr>
          <w:rFonts w:cs="Traditional Arabic"/>
          <w:sz w:val="34"/>
          <w:szCs w:val="34"/>
          <w:rtl/>
        </w:rPr>
        <w:t xml:space="preserve">ي ابتدأنا ما يتعلق </w:t>
      </w:r>
      <w:r>
        <w:rPr>
          <w:rFonts w:cs="Traditional Arabic" w:hint="cs"/>
          <w:sz w:val="34"/>
          <w:szCs w:val="34"/>
          <w:rtl/>
        </w:rPr>
        <w:t>ب</w:t>
      </w:r>
      <w:r w:rsidR="00A05229" w:rsidRPr="00AF11FE">
        <w:rPr>
          <w:rFonts w:cs="Traditional Arabic"/>
          <w:sz w:val="34"/>
          <w:szCs w:val="34"/>
          <w:rtl/>
        </w:rPr>
        <w:t>باب "</w:t>
      </w:r>
      <w:r w:rsidR="00A05229" w:rsidRPr="00566235">
        <w:rPr>
          <w:rFonts w:cs="Traditional Arabic"/>
          <w:sz w:val="34"/>
          <w:szCs w:val="34"/>
          <w:u w:val="dotDotDash" w:color="FF0000"/>
          <w:rtl/>
        </w:rPr>
        <w:t>الشِّجاجِ</w:t>
      </w:r>
      <w:r w:rsidR="00A05229" w:rsidRPr="00AF11FE">
        <w:rPr>
          <w:rFonts w:cs="Traditional Arabic"/>
          <w:sz w:val="34"/>
          <w:szCs w:val="34"/>
          <w:rtl/>
        </w:rPr>
        <w:t>"، وقلنا</w:t>
      </w:r>
      <w:r>
        <w:rPr>
          <w:rFonts w:cs="Traditional Arabic" w:hint="cs"/>
          <w:sz w:val="34"/>
          <w:szCs w:val="34"/>
          <w:rtl/>
        </w:rPr>
        <w:t>:</w:t>
      </w:r>
      <w:r w:rsidR="00A05229" w:rsidRPr="00AF11FE">
        <w:rPr>
          <w:rFonts w:cs="Traditional Arabic"/>
          <w:sz w:val="34"/>
          <w:szCs w:val="34"/>
          <w:rtl/>
        </w:rPr>
        <w:t xml:space="preserve"> إنَّ الشِّجاج م</w:t>
      </w:r>
      <w:r>
        <w:rPr>
          <w:rFonts w:cs="Traditional Arabic" w:hint="cs"/>
          <w:sz w:val="34"/>
          <w:szCs w:val="34"/>
          <w:rtl/>
        </w:rPr>
        <w:t>ُ</w:t>
      </w:r>
      <w:r w:rsidR="00A05229" w:rsidRPr="00AF11FE">
        <w:rPr>
          <w:rFonts w:cs="Traditional Arabic"/>
          <w:sz w:val="34"/>
          <w:szCs w:val="34"/>
          <w:rtl/>
        </w:rPr>
        <w:t>تعلقةٌ بالرأسِ والوجهِ ممَّا يكون من الجراح، والفقهاء يُطلقون "الجراح" على ما سوى ذلك من أجزاء البدن، فبناء على هذا عقد المؤلف -رَحِمَهُ اللهُ تَعَالَى- بعدَ الديات التي فيما دونَ النفس؛ هذا الباب الذي يتعلق بالوجه والرأس، وذكرَ أنَّ أسماء الشِّجاج التي تكون في الرأس والوجه تسعًا، خمسًا قد مضى بيانها وذكرها، وهي التي فيها حكومة، وقلنا</w:t>
      </w:r>
      <w:r>
        <w:rPr>
          <w:rFonts w:cs="Traditional Arabic" w:hint="cs"/>
          <w:sz w:val="34"/>
          <w:szCs w:val="34"/>
          <w:rtl/>
        </w:rPr>
        <w:t>:</w:t>
      </w:r>
      <w:r w:rsidR="00A05229" w:rsidRPr="00AF11FE">
        <w:rPr>
          <w:rFonts w:cs="Traditional Arabic"/>
          <w:sz w:val="34"/>
          <w:szCs w:val="34"/>
          <w:rtl/>
        </w:rPr>
        <w:t xml:space="preserve"> إنَّها تُقدَّر بما لا يبلغُ الدِّية التي هي أعظم منها.</w:t>
      </w:r>
    </w:p>
    <w:p w:rsidR="00A05229" w:rsidRPr="00AF11FE" w:rsidRDefault="00A05229" w:rsidP="00566235">
      <w:pPr>
        <w:spacing w:before="120" w:after="0" w:line="240" w:lineRule="auto"/>
        <w:ind w:firstLine="720"/>
        <w:jc w:val="both"/>
        <w:rPr>
          <w:rFonts w:cs="Traditional Arabic"/>
          <w:sz w:val="34"/>
          <w:szCs w:val="34"/>
          <w:rtl/>
        </w:rPr>
      </w:pPr>
      <w:r w:rsidRPr="00AF11FE">
        <w:rPr>
          <w:rFonts w:cs="Traditional Arabic"/>
          <w:sz w:val="34"/>
          <w:szCs w:val="34"/>
          <w:rtl/>
        </w:rPr>
        <w:t>هنا ينبغي أن يُعلم كيفية تقدير الحكومة، فالفقهاء -رَحِمَهُم اللهُ تَعَالَى- يذكرون ذلك بطريقةٍ م</w:t>
      </w:r>
      <w:r w:rsidR="00566235">
        <w:rPr>
          <w:rFonts w:cs="Traditional Arabic" w:hint="cs"/>
          <w:sz w:val="34"/>
          <w:szCs w:val="34"/>
          <w:rtl/>
        </w:rPr>
        <w:t>ُ</w:t>
      </w:r>
      <w:r w:rsidRPr="00AF11FE">
        <w:rPr>
          <w:rFonts w:cs="Traditional Arabic"/>
          <w:sz w:val="34"/>
          <w:szCs w:val="34"/>
          <w:rtl/>
        </w:rPr>
        <w:t>عيَّنةٍ، لكن الآن هي أعقدُ ممَّا مضَى، ذلك أنَّهم يقولون: نُقدِّر هذا الح</w:t>
      </w:r>
      <w:r w:rsidR="00566235">
        <w:rPr>
          <w:rFonts w:cs="Traditional Arabic" w:hint="cs"/>
          <w:sz w:val="34"/>
          <w:szCs w:val="34"/>
          <w:rtl/>
        </w:rPr>
        <w:t>ُ</w:t>
      </w:r>
      <w:r w:rsidRPr="00AF11FE">
        <w:rPr>
          <w:rFonts w:cs="Traditional Arabic"/>
          <w:sz w:val="34"/>
          <w:szCs w:val="34"/>
          <w:rtl/>
        </w:rPr>
        <w:t>ر</w:t>
      </w:r>
      <w:r w:rsidR="00566235">
        <w:rPr>
          <w:rFonts w:cs="Traditional Arabic" w:hint="cs"/>
          <w:sz w:val="34"/>
          <w:szCs w:val="34"/>
          <w:rtl/>
        </w:rPr>
        <w:t>ُّ</w:t>
      </w:r>
      <w:r w:rsidRPr="00AF11FE">
        <w:rPr>
          <w:rFonts w:cs="Traditional Arabic"/>
          <w:sz w:val="34"/>
          <w:szCs w:val="34"/>
          <w:rtl/>
        </w:rPr>
        <w:t xml:space="preserve"> </w:t>
      </w:r>
      <w:r w:rsidR="00566235">
        <w:rPr>
          <w:rFonts w:cs="Traditional Arabic" w:hint="cs"/>
          <w:sz w:val="34"/>
          <w:szCs w:val="34"/>
          <w:rtl/>
        </w:rPr>
        <w:t xml:space="preserve">كأنه </w:t>
      </w:r>
      <w:r w:rsidRPr="00AF11FE">
        <w:rPr>
          <w:rFonts w:cs="Traditional Arabic"/>
          <w:sz w:val="34"/>
          <w:szCs w:val="34"/>
          <w:rtl/>
        </w:rPr>
        <w:t>عبد، ثم ننظر كم يُساوي لو بيعَ وهو سليم، ثم كم يُساوي لو بيعَ وهو معيبٌ أو فيه هذه الشَّجَّة، فما نقص فتُجعل نسبة ذلك منسوبة إلى الدية التي فوق هذه الشَّجة.</w:t>
      </w:r>
    </w:p>
    <w:p w:rsidR="00A05229" w:rsidRPr="00AF11FE" w:rsidRDefault="00A05229" w:rsidP="00566235">
      <w:pPr>
        <w:spacing w:before="120" w:after="0" w:line="240" w:lineRule="auto"/>
        <w:ind w:firstLine="720"/>
        <w:jc w:val="both"/>
        <w:rPr>
          <w:rFonts w:cs="Traditional Arabic"/>
          <w:sz w:val="34"/>
          <w:szCs w:val="34"/>
          <w:rtl/>
        </w:rPr>
      </w:pPr>
      <w:r w:rsidRPr="00AF11FE">
        <w:rPr>
          <w:rFonts w:cs="Traditional Arabic"/>
          <w:sz w:val="34"/>
          <w:szCs w:val="34"/>
          <w:rtl/>
        </w:rPr>
        <w:lastRenderedPageBreak/>
        <w:t>مثال: إذا نقص 20 %</w:t>
      </w:r>
      <w:r w:rsidR="00AF11FE">
        <w:rPr>
          <w:rFonts w:cs="Traditional Arabic"/>
          <w:sz w:val="34"/>
          <w:szCs w:val="34"/>
          <w:rtl/>
        </w:rPr>
        <w:t>،</w:t>
      </w:r>
      <w:r w:rsidRPr="00AF11FE">
        <w:rPr>
          <w:rFonts w:cs="Traditional Arabic"/>
          <w:sz w:val="34"/>
          <w:szCs w:val="34"/>
          <w:rtl/>
        </w:rPr>
        <w:t xml:space="preserve"> فم</w:t>
      </w:r>
      <w:r w:rsidR="00566235">
        <w:rPr>
          <w:rFonts w:cs="Traditional Arabic"/>
          <w:sz w:val="34"/>
          <w:szCs w:val="34"/>
          <w:rtl/>
        </w:rPr>
        <w:t xml:space="preserve">عنى ذلك أنه سيكون بعير واحد من </w:t>
      </w:r>
      <w:r w:rsidR="00566235">
        <w:rPr>
          <w:rFonts w:cs="Traditional Arabic" w:hint="cs"/>
          <w:sz w:val="34"/>
          <w:szCs w:val="34"/>
          <w:rtl/>
        </w:rPr>
        <w:t>خ</w:t>
      </w:r>
      <w:r w:rsidRPr="00AF11FE">
        <w:rPr>
          <w:rFonts w:cs="Traditional Arabic"/>
          <w:sz w:val="34"/>
          <w:szCs w:val="34"/>
          <w:rtl/>
        </w:rPr>
        <w:t>مسة أبعرة</w:t>
      </w:r>
      <w:r w:rsidR="00566235">
        <w:rPr>
          <w:rFonts w:cs="Traditional Arabic" w:hint="cs"/>
          <w:sz w:val="34"/>
          <w:szCs w:val="34"/>
          <w:rtl/>
        </w:rPr>
        <w:t>؛</w:t>
      </w:r>
      <w:r w:rsidRPr="00AF11FE">
        <w:rPr>
          <w:rFonts w:cs="Traditional Arabic"/>
          <w:sz w:val="34"/>
          <w:szCs w:val="34"/>
          <w:rtl/>
        </w:rPr>
        <w:t xml:space="preserve"> لأنَّ الموضحة تجب فيها خمسًا من الإبل، وهكذا...</w:t>
      </w:r>
    </w:p>
    <w:p w:rsidR="00A05229" w:rsidRPr="00AF11FE" w:rsidRDefault="00A05229" w:rsidP="00566235">
      <w:pPr>
        <w:spacing w:before="120" w:after="0" w:line="240" w:lineRule="auto"/>
        <w:ind w:firstLine="720"/>
        <w:jc w:val="both"/>
        <w:rPr>
          <w:rFonts w:cs="Traditional Arabic"/>
          <w:sz w:val="34"/>
          <w:szCs w:val="34"/>
          <w:rtl/>
        </w:rPr>
      </w:pPr>
      <w:r w:rsidRPr="00AF11FE">
        <w:rPr>
          <w:rFonts w:cs="Traditional Arabic"/>
          <w:sz w:val="34"/>
          <w:szCs w:val="34"/>
          <w:rtl/>
        </w:rPr>
        <w:t>ولكن كانت في تلك الأزمنة أسعار العبيد معلومة وظاهرة ومتداولة في الأسواق، الآن لو جئنا نجعلها على هذا النَّحو لكان فيها صعوبة كثيرة، ولكن على كل حالٍ هي تقدير قدر النقص الذي حصلَ للإنسان، ولأهل المحاكم في ذلك طريقةٌ معلومةٌ قريبةٌ ممَّا ذكر الفقهاء، لكن هذا هو الذي تقرَّرَ عند أهل العلم وأهل الفقه</w:t>
      </w:r>
      <w:r w:rsidR="00AF11FE">
        <w:rPr>
          <w:rFonts w:cs="Traditional Arabic"/>
          <w:sz w:val="34"/>
          <w:szCs w:val="34"/>
          <w:rtl/>
        </w:rPr>
        <w:t xml:space="preserve"> </w:t>
      </w:r>
      <w:r w:rsidRPr="00AF11FE">
        <w:rPr>
          <w:rFonts w:cs="Traditional Arabic"/>
          <w:sz w:val="34"/>
          <w:szCs w:val="34"/>
          <w:rtl/>
        </w:rPr>
        <w:t>-رَحِمَهُم اللهُ تَعَالَى.</w:t>
      </w:r>
    </w:p>
    <w:p w:rsidR="00A05229" w:rsidRPr="00BE78C0" w:rsidRDefault="00A05229" w:rsidP="00566235">
      <w:pPr>
        <w:spacing w:before="120" w:after="0" w:line="240" w:lineRule="auto"/>
        <w:ind w:firstLine="720"/>
        <w:jc w:val="both"/>
        <w:rPr>
          <w:rFonts w:cs="Traditional Arabic"/>
          <w:sz w:val="34"/>
          <w:szCs w:val="34"/>
          <w:rtl/>
        </w:rPr>
      </w:pPr>
      <w:r w:rsidRPr="00BE78C0">
        <w:rPr>
          <w:rFonts w:cs="Traditional Arabic"/>
          <w:sz w:val="34"/>
          <w:szCs w:val="34"/>
          <w:rtl/>
        </w:rPr>
        <w:t>ذكرنا أنَّ الموضحة تجب فيها ديةٌ محدَّدةٌ، وجاء ذلك في حديث عمرو بن شعيب عن أبيه عن جده، وقلنا</w:t>
      </w:r>
      <w:r w:rsidR="00566235" w:rsidRPr="00BE78C0">
        <w:rPr>
          <w:rFonts w:cs="Traditional Arabic" w:hint="cs"/>
          <w:sz w:val="34"/>
          <w:szCs w:val="34"/>
          <w:rtl/>
        </w:rPr>
        <w:t>:</w:t>
      </w:r>
      <w:r w:rsidRPr="00BE78C0">
        <w:rPr>
          <w:rFonts w:cs="Traditional Arabic"/>
          <w:sz w:val="34"/>
          <w:szCs w:val="34"/>
          <w:rtl/>
        </w:rPr>
        <w:t xml:space="preserve"> إنَّها سُمِّيَت موضحةً لأنها توضح العظم، كما أنَّ السِّمحاق سُمِّيَت سمحاقًا لأنَّها تصل إلى جلدةٍ تُسمَّى "السِّمحاق"، والمتلاحمة سُميت بذلك لأنَّها تقطع اللحم.</w:t>
      </w:r>
    </w:p>
    <w:p w:rsidR="00A05229" w:rsidRPr="00BE78C0" w:rsidRDefault="00A05229" w:rsidP="00566235">
      <w:pPr>
        <w:spacing w:before="120" w:after="0" w:line="240" w:lineRule="auto"/>
        <w:ind w:firstLine="720"/>
        <w:jc w:val="both"/>
        <w:rPr>
          <w:rFonts w:cs="Traditional Arabic"/>
          <w:sz w:val="34"/>
          <w:szCs w:val="34"/>
          <w:rtl/>
        </w:rPr>
      </w:pPr>
      <w:r w:rsidRPr="00BE78C0">
        <w:rPr>
          <w:rFonts w:cs="Traditional Arabic"/>
          <w:sz w:val="34"/>
          <w:szCs w:val="34"/>
          <w:rtl/>
        </w:rPr>
        <w:t xml:space="preserve">والموضحة يجب فيها </w:t>
      </w:r>
      <w:r w:rsidR="00566235" w:rsidRPr="00BE78C0">
        <w:rPr>
          <w:rFonts w:cs="Traditional Arabic" w:hint="cs"/>
          <w:sz w:val="34"/>
          <w:szCs w:val="34"/>
          <w:rtl/>
        </w:rPr>
        <w:t>خ</w:t>
      </w:r>
      <w:r w:rsidRPr="00BE78C0">
        <w:rPr>
          <w:rFonts w:cs="Traditional Arabic"/>
          <w:sz w:val="34"/>
          <w:szCs w:val="34"/>
          <w:rtl/>
        </w:rPr>
        <w:t>مس من الإبل لحديث عمرو بن شعيب عن أبيه عن جده، ويجب فيها القصاص لو كانت عمدًا، لأنَّها تنتهي إلى عظمٍ ويُمكن إج</w:t>
      </w:r>
      <w:r w:rsidR="00E53BCE" w:rsidRPr="00BE78C0">
        <w:rPr>
          <w:rFonts w:cs="Traditional Arabic"/>
          <w:sz w:val="34"/>
          <w:szCs w:val="34"/>
          <w:rtl/>
        </w:rPr>
        <w:t>ر</w:t>
      </w:r>
      <w:r w:rsidRPr="00BE78C0">
        <w:rPr>
          <w:rFonts w:cs="Traditional Arabic"/>
          <w:sz w:val="34"/>
          <w:szCs w:val="34"/>
          <w:rtl/>
        </w:rPr>
        <w:t>اء القصاص مع أمنِ الحيف فيها، أمَّا إذا كانت خطأ فلا يكون فيها إلَّا الدِّية على ما ذكر المؤلف -رَحِمَهُ اللهُ تَعَالَى.</w:t>
      </w:r>
    </w:p>
    <w:p w:rsidR="00A05229" w:rsidRPr="00BE78C0" w:rsidRDefault="00A05229" w:rsidP="00566235">
      <w:pPr>
        <w:spacing w:before="120" w:after="0" w:line="240" w:lineRule="auto"/>
        <w:ind w:firstLine="720"/>
        <w:jc w:val="both"/>
        <w:rPr>
          <w:rFonts w:cs="Traditional Arabic"/>
          <w:sz w:val="34"/>
          <w:szCs w:val="34"/>
          <w:rtl/>
        </w:rPr>
      </w:pPr>
      <w:r w:rsidRPr="00BE78C0">
        <w:rPr>
          <w:rFonts w:cs="Traditional Arabic"/>
          <w:sz w:val="34"/>
          <w:szCs w:val="34"/>
          <w:rtl/>
        </w:rPr>
        <w:t xml:space="preserve">{قال المؤلف -رَحِمَهُ اللهُ تَعَالَى: </w:t>
      </w:r>
      <w:r w:rsidRPr="00BE78C0">
        <w:rPr>
          <w:rFonts w:cs="Traditional Arabic"/>
          <w:color w:val="0000FF"/>
          <w:sz w:val="34"/>
          <w:szCs w:val="34"/>
          <w:rtl/>
        </w:rPr>
        <w:t>(ثُمَّ الْهَاشِمَةُ، وَهِيَ الَّتِيْ تُوْضِحُ اْلعَظْمَ وَتُهَشِّمُهُ، وَفِيْهَا عَشْرٌ مِنَ اْلإِبِلِ)</w:t>
      </w:r>
      <w:r w:rsidRPr="00BE78C0">
        <w:rPr>
          <w:rFonts w:cs="Traditional Arabic"/>
          <w:sz w:val="34"/>
          <w:szCs w:val="34"/>
          <w:rtl/>
        </w:rPr>
        <w:t>}.</w:t>
      </w:r>
    </w:p>
    <w:p w:rsidR="00A05229" w:rsidRPr="00BE78C0" w:rsidRDefault="00A05229" w:rsidP="00566235">
      <w:pPr>
        <w:spacing w:before="120" w:after="0" w:line="240" w:lineRule="auto"/>
        <w:ind w:firstLine="720"/>
        <w:jc w:val="both"/>
        <w:rPr>
          <w:rFonts w:cs="Traditional Arabic"/>
          <w:sz w:val="34"/>
          <w:szCs w:val="34"/>
          <w:rtl/>
        </w:rPr>
      </w:pPr>
      <w:r w:rsidRPr="00BE78C0">
        <w:rPr>
          <w:rFonts w:cs="Traditional Arabic"/>
          <w:sz w:val="34"/>
          <w:szCs w:val="34"/>
          <w:rtl/>
        </w:rPr>
        <w:t>الهاشمة مأخوذٌ اسمها من حقيقتها، وذلك أنَّ هذه الهاشمة تهشم العظم، فالعظم في الموضحة يكون واضحًا أيضًا ينكسر، فهو واضحٌ ومكسور -أو مهشوم- فبناء على ذلك قال المؤلف على وجه التَّحديد</w:t>
      </w:r>
      <w:r w:rsidR="00566235" w:rsidRPr="00BE78C0">
        <w:rPr>
          <w:rFonts w:cs="Traditional Arabic" w:hint="cs"/>
          <w:sz w:val="34"/>
          <w:szCs w:val="34"/>
          <w:rtl/>
        </w:rPr>
        <w:t>:</w:t>
      </w:r>
      <w:r w:rsidRPr="00BE78C0">
        <w:rPr>
          <w:rFonts w:cs="Traditional Arabic"/>
          <w:sz w:val="34"/>
          <w:szCs w:val="34"/>
          <w:rtl/>
        </w:rPr>
        <w:t xml:space="preserve"> </w:t>
      </w:r>
      <w:r w:rsidR="00AF11FE" w:rsidRPr="00BE78C0">
        <w:rPr>
          <w:rFonts w:cs="Traditional Arabic"/>
          <w:color w:val="0000FF"/>
          <w:sz w:val="34"/>
          <w:szCs w:val="34"/>
          <w:rtl/>
        </w:rPr>
        <w:t>(</w:t>
      </w:r>
      <w:r w:rsidRPr="00BE78C0">
        <w:rPr>
          <w:rFonts w:cs="Traditional Arabic"/>
          <w:color w:val="0000FF"/>
          <w:sz w:val="34"/>
          <w:szCs w:val="34"/>
          <w:rtl/>
        </w:rPr>
        <w:t>وَهِيَ الَّتِيْ تُوْضِحُ اْلعَظْمَ وَتُهَشِّمُهُ)</w:t>
      </w:r>
      <w:r w:rsidRPr="00BE78C0">
        <w:rPr>
          <w:rFonts w:cs="Traditional Arabic"/>
          <w:sz w:val="34"/>
          <w:szCs w:val="34"/>
          <w:rtl/>
        </w:rPr>
        <w:t>، والهَشْمُ والكسر شيءٌ م</w:t>
      </w:r>
      <w:r w:rsidR="00566235" w:rsidRPr="00BE78C0">
        <w:rPr>
          <w:rFonts w:cs="Traditional Arabic" w:hint="cs"/>
          <w:sz w:val="34"/>
          <w:szCs w:val="34"/>
          <w:rtl/>
        </w:rPr>
        <w:t>ُ</w:t>
      </w:r>
      <w:r w:rsidRPr="00BE78C0">
        <w:rPr>
          <w:rFonts w:cs="Traditional Arabic"/>
          <w:sz w:val="34"/>
          <w:szCs w:val="34"/>
          <w:rtl/>
        </w:rPr>
        <w:t>تقارب.</w:t>
      </w:r>
    </w:p>
    <w:p w:rsidR="00A05229" w:rsidRPr="00BE78C0" w:rsidRDefault="00A05229" w:rsidP="00566235">
      <w:pPr>
        <w:spacing w:before="120" w:after="0" w:line="240" w:lineRule="auto"/>
        <w:ind w:firstLine="720"/>
        <w:jc w:val="both"/>
        <w:rPr>
          <w:rFonts w:cs="Traditional Arabic"/>
          <w:sz w:val="34"/>
          <w:szCs w:val="34"/>
          <w:rtl/>
        </w:rPr>
      </w:pPr>
      <w:r w:rsidRPr="00BE78C0">
        <w:rPr>
          <w:rFonts w:cs="Traditional Arabic"/>
          <w:sz w:val="34"/>
          <w:szCs w:val="34"/>
          <w:rtl/>
        </w:rPr>
        <w:t xml:space="preserve">قال: </w:t>
      </w:r>
      <w:r w:rsidRPr="00BE78C0">
        <w:rPr>
          <w:rFonts w:cs="Traditional Arabic"/>
          <w:color w:val="0000FF"/>
          <w:sz w:val="34"/>
          <w:szCs w:val="34"/>
          <w:rtl/>
        </w:rPr>
        <w:t>(وَفِيْهَا عَشْرٌ مِنَ اْلإِبِلِ)</w:t>
      </w:r>
      <w:r w:rsidRPr="00BE78C0">
        <w:rPr>
          <w:rFonts w:cs="Traditional Arabic"/>
          <w:sz w:val="34"/>
          <w:szCs w:val="34"/>
          <w:rtl/>
        </w:rPr>
        <w:t>، وإن كانت درجة تلي درجة الواضحة فمع ذلك زادت خمسًا من الإبل</w:t>
      </w:r>
      <w:r w:rsidR="00566235" w:rsidRPr="00BE78C0">
        <w:rPr>
          <w:rFonts w:cs="Traditional Arabic" w:hint="cs"/>
          <w:sz w:val="34"/>
          <w:szCs w:val="34"/>
          <w:rtl/>
        </w:rPr>
        <w:t>؛</w:t>
      </w:r>
      <w:r w:rsidRPr="00BE78C0">
        <w:rPr>
          <w:rFonts w:cs="Traditional Arabic"/>
          <w:sz w:val="34"/>
          <w:szCs w:val="34"/>
          <w:rtl/>
        </w:rPr>
        <w:t xml:space="preserve"> لأنَّ كسر العظم يُفضي إلى حصول خطر على الإنسان أكثر ممَّا يُتصوَّر، وأيضًا يتطلَّب علاجه وسلامة عظمه واستقامته شيئًا كثيرًا؛ فلأجل ذلك كان فيها عشرًا من الإبل، وهذا جاء في بعض الآثار عن زيد</w:t>
      </w:r>
      <w:r w:rsidR="00AF11FE" w:rsidRPr="00BE78C0">
        <w:rPr>
          <w:rFonts w:cs="Traditional Arabic"/>
          <w:sz w:val="34"/>
          <w:szCs w:val="34"/>
          <w:rtl/>
        </w:rPr>
        <w:t xml:space="preserve"> </w:t>
      </w:r>
      <w:r w:rsidRPr="00BE78C0">
        <w:rPr>
          <w:rFonts w:cs="Traditional Arabic"/>
          <w:sz w:val="34"/>
          <w:szCs w:val="34"/>
          <w:rtl/>
        </w:rPr>
        <w:t>-رَضِيَ اللهُ عَنْهُ- ومثل هذا لا يُقال من قبيل الرأي، فكان كالتَّوقيف، وبناء على ذلك حكمَ به أصحاب النبي -صَلَّى اللهُ عَلَيْه وَسَلَّمَ- وجرى عليه الفقهاء.</w:t>
      </w:r>
    </w:p>
    <w:p w:rsidR="00A05229" w:rsidRPr="00BE78C0" w:rsidRDefault="00A05229" w:rsidP="00566235">
      <w:pPr>
        <w:spacing w:before="120" w:after="0" w:line="240" w:lineRule="auto"/>
        <w:ind w:firstLine="720"/>
        <w:jc w:val="both"/>
        <w:rPr>
          <w:rFonts w:cs="Traditional Arabic"/>
          <w:sz w:val="34"/>
          <w:szCs w:val="34"/>
          <w:rtl/>
        </w:rPr>
      </w:pPr>
      <w:r w:rsidRPr="00BE78C0">
        <w:rPr>
          <w:rFonts w:cs="Traditional Arabic"/>
          <w:sz w:val="34"/>
          <w:szCs w:val="34"/>
          <w:rtl/>
        </w:rPr>
        <w:t xml:space="preserve">{قال -رَحِمَهُ اللهُ تَعَالَى: </w:t>
      </w:r>
      <w:r w:rsidRPr="00BE78C0">
        <w:rPr>
          <w:rFonts w:cs="Traditional Arabic"/>
          <w:color w:val="0000FF"/>
          <w:sz w:val="34"/>
          <w:szCs w:val="34"/>
          <w:rtl/>
        </w:rPr>
        <w:t>(ثُمَّ الْمُنَقِّلَةُ وَهِيَ الَّتِيْ تُوْضِحُ وَتُهَشِّمُ وَتَنْقُلُ عِظَامَهَا، وَفِيْهَا خَمْسَ عَشَرَةَ مِنَ اْلإِبِلِ)</w:t>
      </w:r>
      <w:r w:rsidRPr="00BE78C0">
        <w:rPr>
          <w:rFonts w:cs="Traditional Arabic"/>
          <w:sz w:val="34"/>
          <w:szCs w:val="34"/>
          <w:rtl/>
        </w:rPr>
        <w:t>}.</w:t>
      </w:r>
    </w:p>
    <w:p w:rsidR="00A05229" w:rsidRPr="00BE78C0" w:rsidRDefault="00A05229" w:rsidP="001F7923">
      <w:pPr>
        <w:spacing w:before="120" w:after="0" w:line="240" w:lineRule="auto"/>
        <w:ind w:firstLine="720"/>
        <w:jc w:val="both"/>
        <w:rPr>
          <w:rFonts w:cs="Traditional Arabic"/>
          <w:sz w:val="34"/>
          <w:szCs w:val="34"/>
          <w:rtl/>
        </w:rPr>
      </w:pPr>
      <w:r w:rsidRPr="00BE78C0">
        <w:rPr>
          <w:rFonts w:cs="Traditional Arabic"/>
          <w:sz w:val="34"/>
          <w:szCs w:val="34"/>
          <w:rtl/>
        </w:rPr>
        <w:lastRenderedPageBreak/>
        <w:t>لاحظ هنا أنَّ الهاشمة</w:t>
      </w:r>
      <w:r w:rsidR="00E40CFF" w:rsidRPr="00BE78C0">
        <w:rPr>
          <w:rFonts w:cs="Traditional Arabic" w:hint="cs"/>
          <w:sz w:val="34"/>
          <w:szCs w:val="34"/>
          <w:rtl/>
        </w:rPr>
        <w:t>َ</w:t>
      </w:r>
      <w:r w:rsidRPr="00BE78C0">
        <w:rPr>
          <w:rFonts w:cs="Traditional Arabic"/>
          <w:sz w:val="34"/>
          <w:szCs w:val="34"/>
          <w:rtl/>
        </w:rPr>
        <w:t xml:space="preserve"> والمنقِّلَةَ لم يذكر المؤلف -رَحِمَهُ اللهُ تَعَالَى- فيها قصاصًا</w:t>
      </w:r>
      <w:r w:rsidR="001F7923" w:rsidRPr="00BE78C0">
        <w:rPr>
          <w:rFonts w:cs="Traditional Arabic" w:hint="cs"/>
          <w:sz w:val="34"/>
          <w:szCs w:val="34"/>
          <w:rtl/>
        </w:rPr>
        <w:t>؛</w:t>
      </w:r>
      <w:r w:rsidRPr="00BE78C0">
        <w:rPr>
          <w:rFonts w:cs="Traditional Arabic"/>
          <w:sz w:val="34"/>
          <w:szCs w:val="34"/>
          <w:rtl/>
        </w:rPr>
        <w:t xml:space="preserve"> لأنَّه لا يُمكن القصاص فيها، فالموضحة نصل إلى العظم في</w:t>
      </w:r>
      <w:r w:rsidR="001F7923" w:rsidRPr="00BE78C0">
        <w:rPr>
          <w:rFonts w:cs="Traditional Arabic" w:hint="cs"/>
          <w:sz w:val="34"/>
          <w:szCs w:val="34"/>
          <w:rtl/>
        </w:rPr>
        <w:t>ه</w:t>
      </w:r>
      <w:r w:rsidRPr="00BE78C0">
        <w:rPr>
          <w:rFonts w:cs="Traditional Arabic"/>
          <w:sz w:val="34"/>
          <w:szCs w:val="34"/>
          <w:rtl/>
        </w:rPr>
        <w:t>ا ونقف حدًّا، لكن لو هشمنا في الهاشمة لربما تكون مُنقِّلَة، وإنَّما قد جنى الجاني بهاشمةٍ، فلمَّا كانت لا تنتهي إلى شيءٍ لا يُمكنُ الأمن من الاستيفاء فيه بأن لا يزيد لا يكون فيها استيفاء، ولا يكون فيها قصاصٌ من هذه الجهة.</w:t>
      </w:r>
    </w:p>
    <w:p w:rsidR="00A05229" w:rsidRPr="00BE78C0" w:rsidRDefault="00A05229" w:rsidP="00566235">
      <w:pPr>
        <w:spacing w:before="120" w:after="0" w:line="240" w:lineRule="auto"/>
        <w:ind w:firstLine="720"/>
        <w:jc w:val="both"/>
        <w:rPr>
          <w:rFonts w:cs="Traditional Arabic"/>
          <w:sz w:val="34"/>
          <w:szCs w:val="34"/>
          <w:rtl/>
        </w:rPr>
      </w:pPr>
      <w:r w:rsidRPr="00BE78C0">
        <w:rPr>
          <w:rFonts w:cs="Traditional Arabic"/>
          <w:sz w:val="34"/>
          <w:szCs w:val="34"/>
          <w:rtl/>
        </w:rPr>
        <w:t>المنقِّلَة مثل الهاشمة، فهي توضح العظمَ وتهشمه وتنقله بأن يتحرَّكَ من مكانه، ومن ذلك سُمِّيَت مُنقِّلَةً.</w:t>
      </w:r>
    </w:p>
    <w:p w:rsidR="00A05229" w:rsidRPr="00BE78C0" w:rsidRDefault="00A05229" w:rsidP="00566235">
      <w:pPr>
        <w:spacing w:before="120" w:after="0" w:line="240" w:lineRule="auto"/>
        <w:ind w:firstLine="720"/>
        <w:jc w:val="both"/>
        <w:rPr>
          <w:rFonts w:cs="Traditional Arabic"/>
          <w:sz w:val="34"/>
          <w:szCs w:val="34"/>
          <w:rtl/>
        </w:rPr>
      </w:pPr>
      <w:r w:rsidRPr="00BE78C0">
        <w:rPr>
          <w:rFonts w:cs="Traditional Arabic"/>
          <w:sz w:val="34"/>
          <w:szCs w:val="34"/>
          <w:rtl/>
        </w:rPr>
        <w:t xml:space="preserve">قال: </w:t>
      </w:r>
      <w:r w:rsidRPr="00BE78C0">
        <w:rPr>
          <w:rFonts w:cs="Traditional Arabic"/>
          <w:color w:val="0000FF"/>
          <w:sz w:val="34"/>
          <w:szCs w:val="34"/>
          <w:rtl/>
        </w:rPr>
        <w:t>(وَفِيْهَا خَمْسَ عَشَرَةَ مِنَ اْلإِبِلِ)</w:t>
      </w:r>
      <w:r w:rsidRPr="00BE78C0">
        <w:rPr>
          <w:rFonts w:cs="Traditional Arabic"/>
          <w:sz w:val="34"/>
          <w:szCs w:val="34"/>
          <w:rtl/>
        </w:rPr>
        <w:t>، وهذا أيضًا جاء في الأثر، وهو محل اتِّفاقٍ بينَ أهل العلم</w:t>
      </w:r>
      <w:r w:rsidR="00AF11FE" w:rsidRPr="00BE78C0">
        <w:rPr>
          <w:rFonts w:cs="Traditional Arabic"/>
          <w:sz w:val="34"/>
          <w:szCs w:val="34"/>
          <w:rtl/>
        </w:rPr>
        <w:t>،</w:t>
      </w:r>
      <w:r w:rsidRPr="00BE78C0">
        <w:rPr>
          <w:rFonts w:cs="Traditional Arabic"/>
          <w:sz w:val="34"/>
          <w:szCs w:val="34"/>
          <w:rtl/>
        </w:rPr>
        <w:t xml:space="preserve"> فجاء في الكتاب الذي كتبه عمرو بن حزم </w:t>
      </w:r>
      <w:r w:rsidRPr="00BE78C0">
        <w:rPr>
          <w:rFonts w:cs="Traditional Arabic"/>
          <w:color w:val="0000FF"/>
          <w:sz w:val="34"/>
          <w:szCs w:val="34"/>
          <w:rtl/>
        </w:rPr>
        <w:t>(وفي المنقلة خمسة عشرة من الإبل)</w:t>
      </w:r>
      <w:r w:rsidRPr="00BE78C0">
        <w:rPr>
          <w:rFonts w:cs="Traditional Arabic"/>
          <w:sz w:val="34"/>
          <w:szCs w:val="34"/>
          <w:rtl/>
        </w:rPr>
        <w:t>.</w:t>
      </w:r>
    </w:p>
    <w:p w:rsidR="00A05229" w:rsidRPr="00BE78C0" w:rsidRDefault="00A05229" w:rsidP="00566235">
      <w:pPr>
        <w:spacing w:before="120" w:after="0" w:line="240" w:lineRule="auto"/>
        <w:ind w:firstLine="720"/>
        <w:jc w:val="both"/>
        <w:rPr>
          <w:rFonts w:cs="Traditional Arabic"/>
          <w:sz w:val="34"/>
          <w:szCs w:val="34"/>
          <w:rtl/>
        </w:rPr>
      </w:pPr>
      <w:r w:rsidRPr="00BE78C0">
        <w:rPr>
          <w:rFonts w:cs="Traditional Arabic"/>
          <w:sz w:val="34"/>
          <w:szCs w:val="34"/>
          <w:rtl/>
        </w:rPr>
        <w:t xml:space="preserve">{قال -رَحِمَهُ اللهُ تَعَالَى: </w:t>
      </w:r>
      <w:r w:rsidRPr="00BE78C0">
        <w:rPr>
          <w:rFonts w:cs="Traditional Arabic"/>
          <w:color w:val="0000FF"/>
          <w:sz w:val="34"/>
          <w:szCs w:val="34"/>
          <w:rtl/>
        </w:rPr>
        <w:t>(ثُمَّ الْمَأْمُوْمَةُ وَهِيَ الَّتِيْ تَصِلُ إِلى جِلْدَةِ الدِّمَاغِ، وَفِيْهَا ثُلُثُ الدِّيَةِ)</w:t>
      </w:r>
      <w:r w:rsidRPr="00BE78C0">
        <w:rPr>
          <w:rFonts w:cs="Traditional Arabic"/>
          <w:sz w:val="34"/>
          <w:szCs w:val="34"/>
          <w:rtl/>
        </w:rPr>
        <w:t>}.</w:t>
      </w:r>
    </w:p>
    <w:p w:rsidR="00A05229" w:rsidRPr="00BE78C0" w:rsidRDefault="00A05229" w:rsidP="00566235">
      <w:pPr>
        <w:spacing w:before="120" w:after="0" w:line="240" w:lineRule="auto"/>
        <w:ind w:firstLine="720"/>
        <w:jc w:val="both"/>
        <w:rPr>
          <w:rFonts w:cs="Traditional Arabic"/>
          <w:sz w:val="34"/>
          <w:szCs w:val="34"/>
          <w:rtl/>
        </w:rPr>
      </w:pPr>
      <w:r w:rsidRPr="00BE78C0">
        <w:rPr>
          <w:rFonts w:cs="Traditional Arabic"/>
          <w:sz w:val="34"/>
          <w:szCs w:val="34"/>
          <w:rtl/>
        </w:rPr>
        <w:t>المأمومة هي التي تصل إلى جلدةِ الدِّماغ، ففيه جلدة خفيفة بعدما تنتهي العظام، فهذه المأمومة تصل إلى أم الدِّماغ، وتُسمَّى "الآمَّة"؛ فهذه هي التاسعة من هذه الجراح.</w:t>
      </w:r>
    </w:p>
    <w:p w:rsidR="00A05229" w:rsidRPr="00BE78C0" w:rsidRDefault="00A05229" w:rsidP="00566235">
      <w:pPr>
        <w:spacing w:before="120" w:after="0" w:line="240" w:lineRule="auto"/>
        <w:ind w:firstLine="720"/>
        <w:jc w:val="both"/>
        <w:rPr>
          <w:rFonts w:cs="Traditional Arabic"/>
          <w:sz w:val="34"/>
          <w:szCs w:val="34"/>
          <w:rtl/>
        </w:rPr>
      </w:pPr>
      <w:r w:rsidRPr="00BE78C0">
        <w:rPr>
          <w:rFonts w:cs="Traditional Arabic"/>
          <w:sz w:val="34"/>
          <w:szCs w:val="34"/>
          <w:rtl/>
        </w:rPr>
        <w:t xml:space="preserve">قال المؤلف -رَحِمَهُ اللهُ تَعَالَى: </w:t>
      </w:r>
      <w:r w:rsidRPr="00BE78C0">
        <w:rPr>
          <w:rFonts w:cs="Traditional Arabic"/>
          <w:color w:val="0000FF"/>
          <w:sz w:val="34"/>
          <w:szCs w:val="34"/>
          <w:rtl/>
        </w:rPr>
        <w:t>(وَفِيْهَا ثُلُثُ الدِّيَةِ)</w:t>
      </w:r>
      <w:r w:rsidRPr="00BE78C0">
        <w:rPr>
          <w:rFonts w:cs="Traditional Arabic"/>
          <w:sz w:val="34"/>
          <w:szCs w:val="34"/>
          <w:rtl/>
        </w:rPr>
        <w:t>، وجاء في هذا أثر عمرو بن شعيب، والحكمُ ظاهرٌ عندَ أهل العلم أنَّ المأمومة فيها ثلث الدية.</w:t>
      </w:r>
    </w:p>
    <w:p w:rsidR="00A05229" w:rsidRPr="00AF11FE" w:rsidRDefault="00A05229" w:rsidP="00566235">
      <w:pPr>
        <w:spacing w:before="120" w:after="0" w:line="240" w:lineRule="auto"/>
        <w:ind w:firstLine="720"/>
        <w:jc w:val="both"/>
        <w:rPr>
          <w:rFonts w:cs="Traditional Arabic"/>
          <w:sz w:val="34"/>
          <w:szCs w:val="34"/>
          <w:rtl/>
        </w:rPr>
      </w:pPr>
      <w:r w:rsidRPr="00AF11FE">
        <w:rPr>
          <w:rFonts w:cs="Traditional Arabic"/>
          <w:sz w:val="34"/>
          <w:szCs w:val="34"/>
          <w:rtl/>
        </w:rPr>
        <w:t>هذه تسعٌ:</w:t>
      </w:r>
    </w:p>
    <w:p w:rsidR="00A05229" w:rsidRPr="001F7923" w:rsidRDefault="00A05229" w:rsidP="001F7923">
      <w:pPr>
        <w:pStyle w:val="ListParagraph"/>
        <w:numPr>
          <w:ilvl w:val="0"/>
          <w:numId w:val="1"/>
        </w:numPr>
        <w:spacing w:before="120" w:after="0" w:line="240" w:lineRule="auto"/>
        <w:jc w:val="both"/>
        <w:rPr>
          <w:rFonts w:cs="Traditional Arabic"/>
          <w:sz w:val="34"/>
          <w:szCs w:val="34"/>
          <w:rtl/>
        </w:rPr>
      </w:pPr>
      <w:r w:rsidRPr="001F7923">
        <w:rPr>
          <w:rFonts w:cs="Traditional Arabic"/>
          <w:sz w:val="34"/>
          <w:szCs w:val="34"/>
          <w:rtl/>
        </w:rPr>
        <w:t>أولها: الحارصة.</w:t>
      </w:r>
    </w:p>
    <w:p w:rsidR="00A05229" w:rsidRPr="001F7923" w:rsidRDefault="00A05229" w:rsidP="001F7923">
      <w:pPr>
        <w:pStyle w:val="ListParagraph"/>
        <w:numPr>
          <w:ilvl w:val="0"/>
          <w:numId w:val="1"/>
        </w:numPr>
        <w:spacing w:before="120" w:after="0" w:line="240" w:lineRule="auto"/>
        <w:jc w:val="both"/>
        <w:rPr>
          <w:rFonts w:cs="Traditional Arabic"/>
          <w:sz w:val="34"/>
          <w:szCs w:val="34"/>
          <w:rtl/>
        </w:rPr>
      </w:pPr>
      <w:r w:rsidRPr="001F7923">
        <w:rPr>
          <w:rFonts w:cs="Traditional Arabic"/>
          <w:sz w:val="34"/>
          <w:szCs w:val="34"/>
          <w:rtl/>
        </w:rPr>
        <w:t>ثانيها: البازلة.</w:t>
      </w:r>
    </w:p>
    <w:p w:rsidR="00A05229" w:rsidRPr="001F7923" w:rsidRDefault="00A05229" w:rsidP="001F7923">
      <w:pPr>
        <w:pStyle w:val="ListParagraph"/>
        <w:numPr>
          <w:ilvl w:val="0"/>
          <w:numId w:val="1"/>
        </w:numPr>
        <w:spacing w:before="120" w:after="0" w:line="240" w:lineRule="auto"/>
        <w:jc w:val="both"/>
        <w:rPr>
          <w:rFonts w:cs="Traditional Arabic"/>
          <w:sz w:val="34"/>
          <w:szCs w:val="34"/>
          <w:rtl/>
        </w:rPr>
      </w:pPr>
      <w:r w:rsidRPr="001F7923">
        <w:rPr>
          <w:rFonts w:cs="Traditional Arabic"/>
          <w:sz w:val="34"/>
          <w:szCs w:val="34"/>
          <w:rtl/>
        </w:rPr>
        <w:t>ثالثها: الباضعة.</w:t>
      </w:r>
    </w:p>
    <w:p w:rsidR="00A05229" w:rsidRPr="001F7923" w:rsidRDefault="00A05229" w:rsidP="001F7923">
      <w:pPr>
        <w:pStyle w:val="ListParagraph"/>
        <w:numPr>
          <w:ilvl w:val="0"/>
          <w:numId w:val="1"/>
        </w:numPr>
        <w:spacing w:before="120" w:after="0" w:line="240" w:lineRule="auto"/>
        <w:jc w:val="both"/>
        <w:rPr>
          <w:rFonts w:cs="Traditional Arabic"/>
          <w:sz w:val="34"/>
          <w:szCs w:val="34"/>
          <w:rtl/>
        </w:rPr>
      </w:pPr>
      <w:r w:rsidRPr="001F7923">
        <w:rPr>
          <w:rFonts w:cs="Traditional Arabic"/>
          <w:sz w:val="34"/>
          <w:szCs w:val="34"/>
          <w:rtl/>
        </w:rPr>
        <w:t>رابعها:</w:t>
      </w:r>
      <w:r w:rsidR="00E53BCE" w:rsidRPr="001F7923">
        <w:rPr>
          <w:rFonts w:cs="Traditional Arabic" w:hint="cs"/>
          <w:sz w:val="34"/>
          <w:szCs w:val="34"/>
          <w:rtl/>
        </w:rPr>
        <w:t xml:space="preserve"> </w:t>
      </w:r>
      <w:r w:rsidRPr="001F7923">
        <w:rPr>
          <w:rFonts w:cs="Traditional Arabic"/>
          <w:sz w:val="34"/>
          <w:szCs w:val="34"/>
          <w:rtl/>
        </w:rPr>
        <w:t>المتلاحمة.</w:t>
      </w:r>
    </w:p>
    <w:p w:rsidR="00A05229" w:rsidRPr="001F7923" w:rsidRDefault="00A05229" w:rsidP="001F7923">
      <w:pPr>
        <w:pStyle w:val="ListParagraph"/>
        <w:numPr>
          <w:ilvl w:val="0"/>
          <w:numId w:val="1"/>
        </w:numPr>
        <w:spacing w:before="120" w:after="0" w:line="240" w:lineRule="auto"/>
        <w:jc w:val="both"/>
        <w:rPr>
          <w:rFonts w:cs="Traditional Arabic"/>
          <w:sz w:val="34"/>
          <w:szCs w:val="34"/>
          <w:rtl/>
        </w:rPr>
      </w:pPr>
      <w:r w:rsidRPr="001F7923">
        <w:rPr>
          <w:rFonts w:cs="Traditional Arabic"/>
          <w:sz w:val="34"/>
          <w:szCs w:val="34"/>
          <w:rtl/>
        </w:rPr>
        <w:t>خامسها: السِّمحاق.</w:t>
      </w:r>
    </w:p>
    <w:p w:rsidR="00A05229" w:rsidRPr="001F7923" w:rsidRDefault="00A05229" w:rsidP="001F7923">
      <w:pPr>
        <w:pStyle w:val="ListParagraph"/>
        <w:numPr>
          <w:ilvl w:val="0"/>
          <w:numId w:val="1"/>
        </w:numPr>
        <w:spacing w:before="120" w:after="0" w:line="240" w:lineRule="auto"/>
        <w:jc w:val="both"/>
        <w:rPr>
          <w:rFonts w:cs="Traditional Arabic"/>
          <w:sz w:val="34"/>
          <w:szCs w:val="34"/>
          <w:rtl/>
        </w:rPr>
      </w:pPr>
      <w:r w:rsidRPr="001F7923">
        <w:rPr>
          <w:rFonts w:cs="Traditional Arabic"/>
          <w:sz w:val="34"/>
          <w:szCs w:val="34"/>
          <w:rtl/>
        </w:rPr>
        <w:t>سادها: الموضحة.</w:t>
      </w:r>
    </w:p>
    <w:p w:rsidR="00A05229" w:rsidRPr="001F7923" w:rsidRDefault="00A05229" w:rsidP="001F7923">
      <w:pPr>
        <w:pStyle w:val="ListParagraph"/>
        <w:numPr>
          <w:ilvl w:val="0"/>
          <w:numId w:val="1"/>
        </w:numPr>
        <w:spacing w:before="120" w:after="0" w:line="240" w:lineRule="auto"/>
        <w:jc w:val="both"/>
        <w:rPr>
          <w:rFonts w:cs="Traditional Arabic"/>
          <w:sz w:val="34"/>
          <w:szCs w:val="34"/>
          <w:rtl/>
        </w:rPr>
      </w:pPr>
      <w:r w:rsidRPr="001F7923">
        <w:rPr>
          <w:rFonts w:cs="Traditional Arabic"/>
          <w:sz w:val="34"/>
          <w:szCs w:val="34"/>
          <w:rtl/>
        </w:rPr>
        <w:t>سابعها: الهاشمة.</w:t>
      </w:r>
    </w:p>
    <w:p w:rsidR="00A05229" w:rsidRPr="001F7923" w:rsidRDefault="00A05229" w:rsidP="001F7923">
      <w:pPr>
        <w:pStyle w:val="ListParagraph"/>
        <w:numPr>
          <w:ilvl w:val="0"/>
          <w:numId w:val="1"/>
        </w:numPr>
        <w:spacing w:before="120" w:after="0" w:line="240" w:lineRule="auto"/>
        <w:jc w:val="both"/>
        <w:rPr>
          <w:rFonts w:cs="Traditional Arabic"/>
          <w:sz w:val="34"/>
          <w:szCs w:val="34"/>
          <w:rtl/>
        </w:rPr>
      </w:pPr>
      <w:r w:rsidRPr="001F7923">
        <w:rPr>
          <w:rFonts w:cs="Traditional Arabic"/>
          <w:sz w:val="34"/>
          <w:szCs w:val="34"/>
          <w:rtl/>
        </w:rPr>
        <w:t>ثامنها: المُنقِّلَة.</w:t>
      </w:r>
    </w:p>
    <w:p w:rsidR="00A05229" w:rsidRPr="001F7923" w:rsidRDefault="00A05229" w:rsidP="001F7923">
      <w:pPr>
        <w:pStyle w:val="ListParagraph"/>
        <w:numPr>
          <w:ilvl w:val="0"/>
          <w:numId w:val="1"/>
        </w:numPr>
        <w:spacing w:before="120" w:after="0" w:line="240" w:lineRule="auto"/>
        <w:jc w:val="both"/>
        <w:rPr>
          <w:rFonts w:cs="Traditional Arabic"/>
          <w:sz w:val="34"/>
          <w:szCs w:val="34"/>
          <w:rtl/>
        </w:rPr>
      </w:pPr>
      <w:r w:rsidRPr="001F7923">
        <w:rPr>
          <w:rFonts w:cs="Traditional Arabic"/>
          <w:sz w:val="34"/>
          <w:szCs w:val="34"/>
          <w:rtl/>
        </w:rPr>
        <w:t>تاسعها: المأمومة.</w:t>
      </w:r>
    </w:p>
    <w:p w:rsidR="00A05229" w:rsidRPr="00AF11FE" w:rsidRDefault="00A05229" w:rsidP="00566235">
      <w:pPr>
        <w:spacing w:before="120" w:after="0" w:line="240" w:lineRule="auto"/>
        <w:ind w:firstLine="720"/>
        <w:jc w:val="both"/>
        <w:rPr>
          <w:rFonts w:cs="Traditional Arabic"/>
          <w:sz w:val="34"/>
          <w:szCs w:val="34"/>
          <w:rtl/>
        </w:rPr>
      </w:pPr>
      <w:r w:rsidRPr="00AF11FE">
        <w:rPr>
          <w:rFonts w:cs="Traditional Arabic"/>
          <w:sz w:val="34"/>
          <w:szCs w:val="34"/>
          <w:rtl/>
        </w:rPr>
        <w:t>وبعضهم يجعلها عشرًا؛ فيقول: عاشرها: الدَّامغة وهي التي تصل إلى الدِّماغ، فتخرق جلدة المأمومة.</w:t>
      </w:r>
    </w:p>
    <w:p w:rsidR="00A05229" w:rsidRPr="00AF11FE" w:rsidRDefault="00A05229" w:rsidP="00566235">
      <w:pPr>
        <w:spacing w:before="120" w:after="0" w:line="240" w:lineRule="auto"/>
        <w:ind w:firstLine="720"/>
        <w:jc w:val="both"/>
        <w:rPr>
          <w:rFonts w:cs="Traditional Arabic"/>
          <w:sz w:val="34"/>
          <w:szCs w:val="34"/>
          <w:rtl/>
        </w:rPr>
      </w:pPr>
      <w:r w:rsidRPr="00AF11FE">
        <w:rPr>
          <w:rFonts w:cs="Traditional Arabic"/>
          <w:sz w:val="34"/>
          <w:szCs w:val="34"/>
          <w:rtl/>
        </w:rPr>
        <w:lastRenderedPageBreak/>
        <w:t>لِمَ يذكرها المؤلف -رَحِمَهُ اللهُ تَعَالَى</w:t>
      </w:r>
      <w:r w:rsidR="001F7923">
        <w:rPr>
          <w:rFonts w:cs="Traditional Arabic" w:hint="cs"/>
          <w:sz w:val="34"/>
          <w:szCs w:val="34"/>
          <w:rtl/>
        </w:rPr>
        <w:t>، لماذا</w:t>
      </w:r>
      <w:r w:rsidRPr="00AF11FE">
        <w:rPr>
          <w:rFonts w:cs="Traditional Arabic"/>
          <w:sz w:val="34"/>
          <w:szCs w:val="34"/>
          <w:rtl/>
        </w:rPr>
        <w:t>؟</w:t>
      </w:r>
    </w:p>
    <w:p w:rsidR="00A05229" w:rsidRPr="00AF11FE" w:rsidRDefault="00A05229" w:rsidP="00566235">
      <w:pPr>
        <w:spacing w:before="120" w:after="0" w:line="240" w:lineRule="auto"/>
        <w:ind w:firstLine="720"/>
        <w:jc w:val="both"/>
        <w:rPr>
          <w:rFonts w:cs="Traditional Arabic"/>
          <w:sz w:val="34"/>
          <w:szCs w:val="34"/>
          <w:rtl/>
        </w:rPr>
      </w:pPr>
      <w:r w:rsidRPr="00AF11FE">
        <w:rPr>
          <w:rFonts w:cs="Traditional Arabic"/>
          <w:sz w:val="34"/>
          <w:szCs w:val="34"/>
          <w:rtl/>
        </w:rPr>
        <w:t>لأنَّها مأمومة وزيادة، والذي فيها إنما هو ثلث الدية، فلذلك جعلها والمأمومة سواء، فلم يجتَجْ إلى ذكرها وتَعدادها، فإنَّما الذِّكرُ في تدرُّج هذه والواجب فيها، فلمَّا كان الواجب في الدَّامغة كالواجب في المأمومة ذكرها -رَحِمَهُ اللهُ تَعَالَى- على حدٍّ سواء، وهي من جهة الشَّجَّةِ هي مختلفة، ومن جهة الحكم واحدة، فبعض أهل العلم ينقلها على نحو ما ذكر المؤلف هنا تسعًا باعتبار الاختلاف فيها، وبعضهم يذكرها عشرًا باعتبار صفة -أو صورة- هذه الشَّجَّة.</w:t>
      </w:r>
    </w:p>
    <w:p w:rsidR="00A05229" w:rsidRPr="00AF11FE" w:rsidRDefault="00A05229" w:rsidP="001F7923">
      <w:pPr>
        <w:spacing w:before="120" w:after="0" w:line="240" w:lineRule="auto"/>
        <w:ind w:firstLine="720"/>
        <w:jc w:val="both"/>
        <w:rPr>
          <w:rFonts w:cs="Traditional Arabic"/>
          <w:sz w:val="34"/>
          <w:szCs w:val="34"/>
          <w:rtl/>
        </w:rPr>
      </w:pPr>
      <w:r w:rsidRPr="00AF11FE">
        <w:rPr>
          <w:rFonts w:cs="Traditional Arabic"/>
          <w:sz w:val="34"/>
          <w:szCs w:val="34"/>
          <w:rtl/>
        </w:rPr>
        <w:t>ذكرنا فيما مضى أنَّ البازلة -أو الحارصة ونحوها- إذا جاء مُقدِّر الشِّجاج فإنَّه يعرف كم اتِّساعها وكم ضيقها وكم زيادتها وكم نقصها؛ فهذا لا إشكال فيه، وتؤثِّر في الحكومة، وفي باب الموضحة لا، فهي موضحة سواء كان الذي وضحَ قدرَ رأس الإبرة أو أكثر؛ إلَّا أن تكون في موضعين في البدن</w:t>
      </w:r>
      <w:r w:rsidR="00AF11FE">
        <w:rPr>
          <w:rFonts w:cs="Traditional Arabic"/>
          <w:sz w:val="34"/>
          <w:szCs w:val="34"/>
          <w:rtl/>
        </w:rPr>
        <w:t>،</w:t>
      </w:r>
      <w:r w:rsidRPr="00AF11FE">
        <w:rPr>
          <w:rFonts w:cs="Traditional Arabic"/>
          <w:sz w:val="34"/>
          <w:szCs w:val="34"/>
          <w:rtl/>
        </w:rPr>
        <w:t xml:space="preserve"> ولها حالين:</w:t>
      </w:r>
    </w:p>
    <w:p w:rsidR="00A05229" w:rsidRPr="00AF11FE" w:rsidRDefault="00A05229" w:rsidP="00566235">
      <w:pPr>
        <w:spacing w:before="120" w:after="0" w:line="240" w:lineRule="auto"/>
        <w:ind w:firstLine="720"/>
        <w:jc w:val="both"/>
        <w:rPr>
          <w:rFonts w:cs="Traditional Arabic"/>
          <w:sz w:val="34"/>
          <w:szCs w:val="34"/>
          <w:rtl/>
        </w:rPr>
      </w:pPr>
      <w:r w:rsidRPr="00AF11FE">
        <w:rPr>
          <w:rFonts w:cs="Traditional Arabic"/>
          <w:sz w:val="34"/>
          <w:szCs w:val="34"/>
          <w:rtl/>
        </w:rPr>
        <w:t>الأول: أن تكون بعضها في الرأس وبعضها في الوجه، فيجعلون موضحة الرأس تختلف عن موضحة الوجه؛ فتكون فيه موضحتان،</w:t>
      </w:r>
    </w:p>
    <w:p w:rsidR="00A05229" w:rsidRPr="00AF11FE" w:rsidRDefault="00A05229" w:rsidP="00566235">
      <w:pPr>
        <w:spacing w:before="120" w:after="0" w:line="240" w:lineRule="auto"/>
        <w:ind w:firstLine="720"/>
        <w:jc w:val="both"/>
        <w:rPr>
          <w:rFonts w:cs="Traditional Arabic"/>
          <w:sz w:val="34"/>
          <w:szCs w:val="34"/>
          <w:rtl/>
        </w:rPr>
      </w:pPr>
      <w:r w:rsidRPr="00AF11FE">
        <w:rPr>
          <w:rFonts w:cs="Traditional Arabic"/>
          <w:sz w:val="34"/>
          <w:szCs w:val="34"/>
          <w:rtl/>
        </w:rPr>
        <w:t>الثاني: أن يكون بينهما حاجز.</w:t>
      </w:r>
    </w:p>
    <w:p w:rsidR="00A05229" w:rsidRPr="00AF11FE" w:rsidRDefault="00A05229" w:rsidP="00566235">
      <w:pPr>
        <w:spacing w:before="120" w:after="0" w:line="240" w:lineRule="auto"/>
        <w:ind w:firstLine="720"/>
        <w:jc w:val="both"/>
        <w:rPr>
          <w:rFonts w:cs="Traditional Arabic"/>
          <w:sz w:val="34"/>
          <w:szCs w:val="34"/>
          <w:rtl/>
        </w:rPr>
      </w:pPr>
      <w:r w:rsidRPr="00AF11FE">
        <w:rPr>
          <w:rFonts w:cs="Traditional Arabic"/>
          <w:sz w:val="34"/>
          <w:szCs w:val="34"/>
          <w:rtl/>
        </w:rPr>
        <w:t>وهذا من جهة طريقة الفقهاء</w:t>
      </w:r>
      <w:r w:rsidR="00AF11FE">
        <w:rPr>
          <w:rFonts w:cs="Traditional Arabic"/>
          <w:sz w:val="34"/>
          <w:szCs w:val="34"/>
          <w:rtl/>
        </w:rPr>
        <w:t xml:space="preserve"> </w:t>
      </w:r>
      <w:r w:rsidRPr="00AF11FE">
        <w:rPr>
          <w:rFonts w:cs="Traditional Arabic"/>
          <w:sz w:val="34"/>
          <w:szCs w:val="34"/>
          <w:rtl/>
        </w:rPr>
        <w:t>-رَحِمَهُم اللهُ تَعَالَى- في الحكم في هذه الشِّجاج، أمَّا لو كان اتِّساعها كبيرًا وليس بينها فواصل فهي واحدة مهما كبُرَت، حتَّى ولو ملئَت جملة الرأس، فهي موضحةٌ واحدة، أو مُنقِّلةٌ واحدة، أو هاشمةٌ واحدة، أو مأمومة واحدة، على نحو ما ذكرنا.</w:t>
      </w:r>
    </w:p>
    <w:p w:rsidR="00A05229" w:rsidRPr="00BE78C0" w:rsidRDefault="00A05229" w:rsidP="00566235">
      <w:pPr>
        <w:spacing w:before="120" w:after="0" w:line="240" w:lineRule="auto"/>
        <w:ind w:firstLine="720"/>
        <w:jc w:val="both"/>
        <w:rPr>
          <w:rFonts w:cs="Traditional Arabic"/>
          <w:sz w:val="34"/>
          <w:szCs w:val="34"/>
          <w:rtl/>
        </w:rPr>
      </w:pPr>
      <w:r w:rsidRPr="00BE78C0">
        <w:rPr>
          <w:rFonts w:cs="Traditional Arabic"/>
          <w:sz w:val="34"/>
          <w:szCs w:val="34"/>
          <w:rtl/>
        </w:rPr>
        <w:t xml:space="preserve">{قال -رَحِمَهُ اللهُ تَعَالَى: </w:t>
      </w:r>
      <w:r w:rsidRPr="00BE78C0">
        <w:rPr>
          <w:rFonts w:cs="Traditional Arabic"/>
          <w:color w:val="0000FF"/>
          <w:sz w:val="34"/>
          <w:szCs w:val="34"/>
          <w:rtl/>
        </w:rPr>
        <w:t>(فِيْ اْلجَائِفَةِ ثُلُثُ الدِّيَةِ، وَهِيَ الَّتِيْ تَصِلُ إِلى اْلجَوْفِ، فَإِنْ خَرَجَتْ مِنْ جَانِبٍ آخَرَ، فَهِيَ جَائِفَتَانِ)</w:t>
      </w:r>
      <w:r w:rsidRPr="00BE78C0">
        <w:rPr>
          <w:rFonts w:cs="Traditional Arabic"/>
          <w:sz w:val="34"/>
          <w:szCs w:val="34"/>
          <w:rtl/>
        </w:rPr>
        <w:t>}.</w:t>
      </w:r>
    </w:p>
    <w:p w:rsidR="00A05229" w:rsidRPr="00BE78C0" w:rsidRDefault="00A05229" w:rsidP="00566235">
      <w:pPr>
        <w:spacing w:before="120" w:after="0" w:line="240" w:lineRule="auto"/>
        <w:ind w:firstLine="720"/>
        <w:jc w:val="both"/>
        <w:rPr>
          <w:rFonts w:cs="Traditional Arabic"/>
          <w:sz w:val="34"/>
          <w:szCs w:val="34"/>
          <w:rtl/>
        </w:rPr>
      </w:pPr>
      <w:r w:rsidRPr="00BE78C0">
        <w:rPr>
          <w:rFonts w:cs="Traditional Arabic"/>
          <w:sz w:val="34"/>
          <w:szCs w:val="34"/>
          <w:rtl/>
        </w:rPr>
        <w:t>الجَائفة: مأخوذةٌ من الجوف، والحقيقة أنَّ ذكرها هنا مردُّها إلى المأمومة من جهة مشابهتها لها في الدية، أمَّا الجائفة فليست في الرأسِ بحالٍ من الأحوال ولا في الوجه، فهي م</w:t>
      </w:r>
      <w:r w:rsidR="001F7923" w:rsidRPr="00BE78C0">
        <w:rPr>
          <w:rFonts w:cs="Traditional Arabic" w:hint="cs"/>
          <w:sz w:val="34"/>
          <w:szCs w:val="34"/>
          <w:rtl/>
        </w:rPr>
        <w:t>ُ</w:t>
      </w:r>
      <w:r w:rsidRPr="00BE78C0">
        <w:rPr>
          <w:rFonts w:cs="Traditional Arabic"/>
          <w:sz w:val="34"/>
          <w:szCs w:val="34"/>
          <w:rtl/>
        </w:rPr>
        <w:t>تعلقةٌ بجراح الجوف -البدن الذي هو سوى الرأس- ولذلك يقول الفقهاء: هي ما يكون في البطن، أو في الظَّهر، أو في النَّحر، أو في الصَّدر، أو في الفخذ، أو ما سوى ذلك؛ وتصل إلى جوفٍ، وهو ما جُوِّف من البدن، ويحصل فيه تغيُّر الغذاء وقوت البدن ونحوه؛ فهذه تُسمَّى جائفة، ولهم في تصوير الجائفة وتحديدها من الدِّقَّة والتَّعقيد.</w:t>
      </w:r>
    </w:p>
    <w:p w:rsidR="00A05229" w:rsidRPr="00BE78C0" w:rsidRDefault="00A05229" w:rsidP="00566235">
      <w:pPr>
        <w:spacing w:before="120" w:after="0" w:line="240" w:lineRule="auto"/>
        <w:ind w:firstLine="720"/>
        <w:jc w:val="both"/>
        <w:rPr>
          <w:rFonts w:cs="Traditional Arabic"/>
          <w:sz w:val="34"/>
          <w:szCs w:val="34"/>
          <w:rtl/>
        </w:rPr>
      </w:pPr>
      <w:r w:rsidRPr="00BE78C0">
        <w:rPr>
          <w:rFonts w:cs="Traditional Arabic"/>
          <w:sz w:val="34"/>
          <w:szCs w:val="34"/>
          <w:rtl/>
        </w:rPr>
        <w:t>وليس بلازم الجائفة أن تقطع الأمعاء -وإن كان هذا هو أصلها- لكن إذا كانت تصل إلى مجوَّف في البدن فهي جائفة، فلو ضربه في صدره حتَّى وصلَ إلى جوفه</w:t>
      </w:r>
      <w:r w:rsidR="00AF11FE" w:rsidRPr="00BE78C0">
        <w:rPr>
          <w:rFonts w:cs="Traditional Arabic"/>
          <w:sz w:val="34"/>
          <w:szCs w:val="34"/>
          <w:rtl/>
        </w:rPr>
        <w:t>،</w:t>
      </w:r>
      <w:r w:rsidRPr="00BE78C0">
        <w:rPr>
          <w:rFonts w:cs="Traditional Arabic"/>
          <w:sz w:val="34"/>
          <w:szCs w:val="34"/>
          <w:rtl/>
        </w:rPr>
        <w:t xml:space="preserve"> أو في البطن، أو في الظَّهر؛ فهي جائفة.</w:t>
      </w:r>
    </w:p>
    <w:p w:rsidR="00A05229" w:rsidRPr="00BE78C0" w:rsidRDefault="00A05229" w:rsidP="00566235">
      <w:pPr>
        <w:spacing w:before="120" w:after="0" w:line="240" w:lineRule="auto"/>
        <w:ind w:firstLine="720"/>
        <w:jc w:val="both"/>
        <w:rPr>
          <w:rFonts w:cs="Traditional Arabic"/>
          <w:sz w:val="34"/>
          <w:szCs w:val="34"/>
          <w:rtl/>
        </w:rPr>
      </w:pPr>
      <w:r w:rsidRPr="00BE78C0">
        <w:rPr>
          <w:rFonts w:cs="Traditional Arabic"/>
          <w:sz w:val="34"/>
          <w:szCs w:val="34"/>
          <w:rtl/>
        </w:rPr>
        <w:t>ولو ضربه في ذكره فوصل إلى مثانته؛ فهذه لم تصل إلى الجوف، فلا يجعلونها جائفة.</w:t>
      </w:r>
    </w:p>
    <w:p w:rsidR="00A05229" w:rsidRPr="00BE78C0" w:rsidRDefault="00A05229" w:rsidP="00566235">
      <w:pPr>
        <w:spacing w:before="120" w:after="0" w:line="240" w:lineRule="auto"/>
        <w:ind w:firstLine="720"/>
        <w:jc w:val="both"/>
        <w:rPr>
          <w:rFonts w:cs="Traditional Arabic"/>
          <w:sz w:val="34"/>
          <w:szCs w:val="34"/>
          <w:rtl/>
        </w:rPr>
      </w:pPr>
      <w:r w:rsidRPr="00BE78C0">
        <w:rPr>
          <w:rFonts w:cs="Traditional Arabic"/>
          <w:sz w:val="34"/>
          <w:szCs w:val="34"/>
          <w:rtl/>
        </w:rPr>
        <w:lastRenderedPageBreak/>
        <w:t>ونقول: إنَّ تصوير الجائفة عند الفقهاء فيه دقَّة، وذكروا فيه تفاصيل لا يتأتَّى للإنسان دقَّةُ العلم بها حتَّى يُراجع جميع ما ذكروه في هذا.</w:t>
      </w:r>
    </w:p>
    <w:p w:rsidR="00A05229" w:rsidRPr="00AF11FE" w:rsidRDefault="00A05229" w:rsidP="00566235">
      <w:pPr>
        <w:spacing w:before="120" w:after="0" w:line="240" w:lineRule="auto"/>
        <w:ind w:firstLine="720"/>
        <w:jc w:val="both"/>
        <w:rPr>
          <w:rFonts w:cs="Traditional Arabic"/>
          <w:sz w:val="34"/>
          <w:szCs w:val="34"/>
          <w:rtl/>
        </w:rPr>
      </w:pPr>
      <w:r w:rsidRPr="00AF11FE">
        <w:rPr>
          <w:rFonts w:cs="Traditional Arabic"/>
          <w:sz w:val="34"/>
          <w:szCs w:val="34"/>
          <w:rtl/>
        </w:rPr>
        <w:t>والمؤلف هنا عرَّفها بالتَّعريف اليسير فقال</w:t>
      </w:r>
      <w:r w:rsidR="001F7923">
        <w:rPr>
          <w:rFonts w:cs="Traditional Arabic" w:hint="cs"/>
          <w:sz w:val="34"/>
          <w:szCs w:val="34"/>
          <w:rtl/>
        </w:rPr>
        <w:t>:</w:t>
      </w:r>
      <w:r w:rsidRPr="00AF11FE">
        <w:rPr>
          <w:rFonts w:cs="Traditional Arabic"/>
          <w:sz w:val="34"/>
          <w:szCs w:val="34"/>
          <w:rtl/>
        </w:rPr>
        <w:t xml:space="preserve"> </w:t>
      </w:r>
      <w:r w:rsidR="00AF11FE" w:rsidRPr="00483EBE">
        <w:rPr>
          <w:rFonts w:cs="Traditional Arabic"/>
          <w:color w:val="0000FF"/>
          <w:sz w:val="34"/>
          <w:szCs w:val="34"/>
          <w:rtl/>
        </w:rPr>
        <w:t>(</w:t>
      </w:r>
      <w:r w:rsidRPr="00483EBE">
        <w:rPr>
          <w:rFonts w:cs="Traditional Arabic"/>
          <w:color w:val="0000FF"/>
          <w:sz w:val="34"/>
          <w:szCs w:val="34"/>
          <w:rtl/>
        </w:rPr>
        <w:t>وَهِيَ الَّتِيْ تَصِلُ إِلى اْلجَوْفِ)</w:t>
      </w:r>
      <w:r w:rsidRPr="00AF11FE">
        <w:rPr>
          <w:rFonts w:cs="Traditional Arabic"/>
          <w:sz w:val="34"/>
          <w:szCs w:val="34"/>
          <w:rtl/>
        </w:rPr>
        <w:t>، لكن احتجنا أن نقول هنا: إنَّ هذه ليست متعلقة بالرأس ولا بالوجه، وأنَّ ذكرها مقاربٌ لذكر المأمومة في تساوي ديتهما.</w:t>
      </w:r>
    </w:p>
    <w:p w:rsidR="00A05229" w:rsidRPr="00AF11FE" w:rsidRDefault="00A05229" w:rsidP="00566235">
      <w:pPr>
        <w:spacing w:before="120" w:after="0" w:line="240" w:lineRule="auto"/>
        <w:ind w:firstLine="720"/>
        <w:jc w:val="both"/>
        <w:rPr>
          <w:rFonts w:cs="Traditional Arabic"/>
          <w:sz w:val="34"/>
          <w:szCs w:val="34"/>
          <w:rtl/>
        </w:rPr>
      </w:pPr>
      <w:r w:rsidRPr="00AF11FE">
        <w:rPr>
          <w:rFonts w:cs="Traditional Arabic"/>
          <w:sz w:val="34"/>
          <w:szCs w:val="34"/>
          <w:rtl/>
        </w:rPr>
        <w:t xml:space="preserve">يقول المؤلف -رَحِمَهُ اللهُ تَعَالَى: </w:t>
      </w:r>
      <w:r w:rsidRPr="00483EBE">
        <w:rPr>
          <w:rFonts w:cs="Traditional Arabic"/>
          <w:color w:val="0000FF"/>
          <w:sz w:val="34"/>
          <w:szCs w:val="34"/>
          <w:rtl/>
        </w:rPr>
        <w:t>(فَإِنْ خَرَجَتْ مِنْ جَانِبٍ آخَرَ، فَهِيَ جَائِفَتَانِ)</w:t>
      </w:r>
      <w:r w:rsidRPr="00AF11FE">
        <w:rPr>
          <w:rFonts w:cs="Traditional Arabic"/>
          <w:sz w:val="34"/>
          <w:szCs w:val="34"/>
          <w:rtl/>
        </w:rPr>
        <w:t xml:space="preserve">، لنفرض كأنَّه ضُربَ من كلا </w:t>
      </w:r>
      <w:r w:rsidR="00BA1306">
        <w:rPr>
          <w:rFonts w:cs="Traditional Arabic" w:hint="cs"/>
          <w:sz w:val="34"/>
          <w:szCs w:val="34"/>
          <w:rtl/>
        </w:rPr>
        <w:t>ج</w:t>
      </w:r>
      <w:r w:rsidRPr="00AF11FE">
        <w:rPr>
          <w:rFonts w:cs="Traditional Arabic"/>
          <w:sz w:val="34"/>
          <w:szCs w:val="34"/>
          <w:rtl/>
        </w:rPr>
        <w:t>انبيه حتَّى وصل إلى الجوف، ولا يختلف الحال بين أن يكون ضُرب من جانبه الأيمن حتَّى خرج من جانبه الأيسر، أو ضُربَ من جانبيه -الأيمن والأيسر- حتَّى اتَّفقتا هاتان الحديدتان في الجوف، فبناء على ذلك قال الفقهاء إنَّ الضربة جائفتين.</w:t>
      </w:r>
    </w:p>
    <w:p w:rsidR="00A05229" w:rsidRPr="00BE78C0" w:rsidRDefault="00A05229" w:rsidP="00566235">
      <w:pPr>
        <w:spacing w:before="120" w:after="0" w:line="240" w:lineRule="auto"/>
        <w:ind w:firstLine="720"/>
        <w:jc w:val="both"/>
        <w:rPr>
          <w:rFonts w:cs="Traditional Arabic"/>
          <w:sz w:val="34"/>
          <w:szCs w:val="34"/>
          <w:rtl/>
        </w:rPr>
      </w:pPr>
      <w:r w:rsidRPr="00BE78C0">
        <w:rPr>
          <w:rFonts w:cs="Traditional Arabic"/>
          <w:sz w:val="34"/>
          <w:szCs w:val="34"/>
          <w:rtl/>
        </w:rPr>
        <w:t xml:space="preserve">{قال -رَحِمَهُ اللهُ تَعَالَى: </w:t>
      </w:r>
      <w:r w:rsidRPr="00BE78C0">
        <w:rPr>
          <w:rFonts w:cs="Traditional Arabic"/>
          <w:color w:val="0000FF"/>
          <w:sz w:val="34"/>
          <w:szCs w:val="34"/>
          <w:rtl/>
        </w:rPr>
        <w:t>(وَفِيْ الضَّلَعِ بَعِيْرٌ)</w:t>
      </w:r>
      <w:r w:rsidRPr="00BE78C0">
        <w:rPr>
          <w:rFonts w:cs="Traditional Arabic"/>
          <w:sz w:val="34"/>
          <w:szCs w:val="34"/>
          <w:rtl/>
        </w:rPr>
        <w:t>}.</w:t>
      </w:r>
    </w:p>
    <w:p w:rsidR="00A05229" w:rsidRPr="00BE78C0" w:rsidRDefault="00A05229" w:rsidP="00566235">
      <w:pPr>
        <w:spacing w:before="120" w:after="0" w:line="240" w:lineRule="auto"/>
        <w:ind w:firstLine="720"/>
        <w:jc w:val="both"/>
        <w:rPr>
          <w:rFonts w:cs="Traditional Arabic"/>
          <w:sz w:val="34"/>
          <w:szCs w:val="34"/>
          <w:rtl/>
        </w:rPr>
      </w:pPr>
      <w:r w:rsidRPr="00BE78C0">
        <w:rPr>
          <w:rFonts w:cs="Traditional Arabic"/>
          <w:sz w:val="34"/>
          <w:szCs w:val="34"/>
          <w:rtl/>
        </w:rPr>
        <w:t>الآن رجع المؤلف إلى أحكام م</w:t>
      </w:r>
      <w:r w:rsidR="00BA1306" w:rsidRPr="00BE78C0">
        <w:rPr>
          <w:rFonts w:cs="Traditional Arabic" w:hint="cs"/>
          <w:sz w:val="34"/>
          <w:szCs w:val="34"/>
          <w:rtl/>
        </w:rPr>
        <w:t>ُ</w:t>
      </w:r>
      <w:r w:rsidRPr="00BE78C0">
        <w:rPr>
          <w:rFonts w:cs="Traditional Arabic"/>
          <w:sz w:val="34"/>
          <w:szCs w:val="34"/>
          <w:rtl/>
        </w:rPr>
        <w:t>تقدِّمة، ولعلك تنظر أنَّه ذكر فيما مضى ما تجب فيه الدية من الجراح فيما دون النَّفس، ثم الآن بدأ في الجراح التي يجب فيها شيء محدَّد غير الحكومة، ولا تصل الدية أو نصفها أو ثلثها، إلَّا ما ذكر في الجائفة.</w:t>
      </w:r>
    </w:p>
    <w:p w:rsidR="00A05229" w:rsidRPr="00BE78C0" w:rsidRDefault="00A05229" w:rsidP="00566235">
      <w:pPr>
        <w:spacing w:before="120" w:after="0" w:line="240" w:lineRule="auto"/>
        <w:ind w:firstLine="720"/>
        <w:jc w:val="both"/>
        <w:rPr>
          <w:rFonts w:cs="Traditional Arabic"/>
          <w:sz w:val="34"/>
          <w:szCs w:val="34"/>
          <w:rtl/>
        </w:rPr>
      </w:pPr>
      <w:r w:rsidRPr="00BE78C0">
        <w:rPr>
          <w:rFonts w:cs="Traditional Arabic"/>
          <w:sz w:val="34"/>
          <w:szCs w:val="34"/>
          <w:rtl/>
        </w:rPr>
        <w:t>فقال هنا</w:t>
      </w:r>
      <w:r w:rsidR="00BA1306" w:rsidRPr="00BE78C0">
        <w:rPr>
          <w:rFonts w:cs="Traditional Arabic" w:hint="cs"/>
          <w:sz w:val="34"/>
          <w:szCs w:val="34"/>
          <w:rtl/>
        </w:rPr>
        <w:t>:</w:t>
      </w:r>
      <w:r w:rsidRPr="00BE78C0">
        <w:rPr>
          <w:rFonts w:cs="Traditional Arabic"/>
          <w:sz w:val="34"/>
          <w:szCs w:val="34"/>
          <w:rtl/>
        </w:rPr>
        <w:t xml:space="preserve"> </w:t>
      </w:r>
      <w:r w:rsidRPr="00BE78C0">
        <w:rPr>
          <w:rFonts w:cs="Traditional Arabic"/>
          <w:color w:val="0000FF"/>
          <w:sz w:val="34"/>
          <w:szCs w:val="34"/>
          <w:rtl/>
        </w:rPr>
        <w:t>(وَفِيْ الضَّلَعِ بَعِيْرٌ)</w:t>
      </w:r>
      <w:r w:rsidRPr="00BE78C0">
        <w:rPr>
          <w:rFonts w:cs="Traditional Arabic"/>
          <w:sz w:val="34"/>
          <w:szCs w:val="34"/>
          <w:rtl/>
        </w:rPr>
        <w:t>، الأضلاع: هي التي في قفص الإنسان عند صدره، وفيه أضلاع في يمينه وشماله، فإذا انكسر واحدٌ منها ففيه بعير، إذا انكسر اثنان ففيه بعيران، وهكذا..</w:t>
      </w:r>
    </w:p>
    <w:p w:rsidR="00A05229" w:rsidRPr="00BE78C0" w:rsidRDefault="00A05229" w:rsidP="00566235">
      <w:pPr>
        <w:spacing w:before="120" w:after="0" w:line="240" w:lineRule="auto"/>
        <w:ind w:firstLine="720"/>
        <w:jc w:val="both"/>
        <w:rPr>
          <w:rFonts w:cs="Traditional Arabic"/>
          <w:sz w:val="34"/>
          <w:szCs w:val="34"/>
          <w:rtl/>
        </w:rPr>
      </w:pPr>
      <w:r w:rsidRPr="00BE78C0">
        <w:rPr>
          <w:rFonts w:cs="Traditional Arabic"/>
          <w:sz w:val="34"/>
          <w:szCs w:val="34"/>
          <w:rtl/>
        </w:rPr>
        <w:t xml:space="preserve">{قال -رَحِمَهُ اللهُ تَعَالَى: </w:t>
      </w:r>
      <w:r w:rsidRPr="00BE78C0">
        <w:rPr>
          <w:rFonts w:cs="Traditional Arabic"/>
          <w:color w:val="0000FF"/>
          <w:sz w:val="34"/>
          <w:szCs w:val="34"/>
          <w:rtl/>
        </w:rPr>
        <w:t>(وَفِيْ التَّرْقُوَتَيْنِ بَعِيْرَانِ)</w:t>
      </w:r>
      <w:r w:rsidRPr="00BE78C0">
        <w:rPr>
          <w:rFonts w:cs="Traditional Arabic"/>
          <w:sz w:val="34"/>
          <w:szCs w:val="34"/>
          <w:rtl/>
        </w:rPr>
        <w:t>}.</w:t>
      </w:r>
    </w:p>
    <w:p w:rsidR="00A05229" w:rsidRPr="00BE78C0" w:rsidRDefault="00A05229" w:rsidP="00566235">
      <w:pPr>
        <w:spacing w:before="120" w:after="0" w:line="240" w:lineRule="auto"/>
        <w:ind w:firstLine="720"/>
        <w:jc w:val="both"/>
        <w:rPr>
          <w:rFonts w:cs="Traditional Arabic"/>
          <w:sz w:val="34"/>
          <w:szCs w:val="34"/>
          <w:rtl/>
        </w:rPr>
      </w:pPr>
      <w:r w:rsidRPr="00BE78C0">
        <w:rPr>
          <w:rFonts w:cs="Traditional Arabic"/>
          <w:sz w:val="34"/>
          <w:szCs w:val="34"/>
          <w:rtl/>
        </w:rPr>
        <w:t>التَّرقوتان: بفتح التَّاء لا بضمهما، وإن كان الضمُّ م</w:t>
      </w:r>
      <w:r w:rsidR="00BA1306" w:rsidRPr="00BE78C0">
        <w:rPr>
          <w:rFonts w:cs="Traditional Arabic" w:hint="cs"/>
          <w:sz w:val="34"/>
          <w:szCs w:val="34"/>
          <w:rtl/>
        </w:rPr>
        <w:t>ً</w:t>
      </w:r>
      <w:r w:rsidRPr="00BE78C0">
        <w:rPr>
          <w:rFonts w:cs="Traditional Arabic"/>
          <w:sz w:val="34"/>
          <w:szCs w:val="34"/>
          <w:rtl/>
        </w:rPr>
        <w:t>شهورًا عند الناس، ولكن الصَّح أن يُقال</w:t>
      </w:r>
      <w:r w:rsidR="00BA1306" w:rsidRPr="00BE78C0">
        <w:rPr>
          <w:rFonts w:cs="Traditional Arabic" w:hint="cs"/>
          <w:sz w:val="34"/>
          <w:szCs w:val="34"/>
          <w:rtl/>
        </w:rPr>
        <w:t>:</w:t>
      </w:r>
      <w:r w:rsidRPr="00BE78C0">
        <w:rPr>
          <w:rFonts w:cs="Traditional Arabic"/>
          <w:sz w:val="34"/>
          <w:szCs w:val="34"/>
          <w:rtl/>
        </w:rPr>
        <w:t xml:space="preserve"> "تَرقوة".</w:t>
      </w:r>
    </w:p>
    <w:p w:rsidR="00A05229" w:rsidRPr="00BE78C0" w:rsidRDefault="00A05229" w:rsidP="00566235">
      <w:pPr>
        <w:spacing w:before="120" w:after="0" w:line="240" w:lineRule="auto"/>
        <w:ind w:firstLine="720"/>
        <w:jc w:val="both"/>
        <w:rPr>
          <w:rFonts w:cs="Traditional Arabic"/>
          <w:sz w:val="34"/>
          <w:szCs w:val="34"/>
          <w:rtl/>
        </w:rPr>
      </w:pPr>
      <w:r w:rsidRPr="00BE78C0">
        <w:rPr>
          <w:rFonts w:cs="Traditional Arabic"/>
          <w:sz w:val="34"/>
          <w:szCs w:val="34"/>
          <w:u w:val="dotDotDash" w:color="FF0000"/>
          <w:rtl/>
        </w:rPr>
        <w:t>والمقصود بالتَّرقوة</w:t>
      </w:r>
      <w:r w:rsidRPr="00BE78C0">
        <w:rPr>
          <w:rFonts w:cs="Traditional Arabic"/>
          <w:sz w:val="34"/>
          <w:szCs w:val="34"/>
          <w:rtl/>
        </w:rPr>
        <w:t>: العظم الذي فيه انحناء عند الرقبة أو في أعلى الصدر، الرابط بينَ الكتف والصدر، فهذه العظام تُسمَّى "تَرقوة".</w:t>
      </w:r>
    </w:p>
    <w:p w:rsidR="00A05229" w:rsidRPr="00BE78C0" w:rsidRDefault="00A05229" w:rsidP="008D7EB5">
      <w:pPr>
        <w:spacing w:before="120" w:after="0" w:line="240" w:lineRule="auto"/>
        <w:ind w:firstLine="720"/>
        <w:jc w:val="both"/>
        <w:rPr>
          <w:rFonts w:cs="Traditional Arabic"/>
          <w:sz w:val="34"/>
          <w:szCs w:val="34"/>
          <w:rtl/>
        </w:rPr>
      </w:pPr>
      <w:r w:rsidRPr="00BE78C0">
        <w:rPr>
          <w:rFonts w:cs="Traditional Arabic"/>
          <w:sz w:val="34"/>
          <w:szCs w:val="34"/>
          <w:rtl/>
        </w:rPr>
        <w:t xml:space="preserve">يقول المؤلف -رَحِمَهُ اللهُ تَعَالَى: </w:t>
      </w:r>
      <w:r w:rsidRPr="00BE78C0">
        <w:rPr>
          <w:rFonts w:cs="Traditional Arabic"/>
          <w:color w:val="0000FF"/>
          <w:sz w:val="34"/>
          <w:szCs w:val="34"/>
          <w:rtl/>
        </w:rPr>
        <w:t>(وَفِيْ التَّرْقُوَتَيْنِ بَعِيْرَانِ)</w:t>
      </w:r>
      <w:r w:rsidR="008D7EB5" w:rsidRPr="00BE78C0">
        <w:rPr>
          <w:rFonts w:cs="Traditional Arabic" w:hint="cs"/>
          <w:sz w:val="34"/>
          <w:szCs w:val="34"/>
          <w:rtl/>
        </w:rPr>
        <w:t>؛</w:t>
      </w:r>
      <w:r w:rsidRPr="00BE78C0">
        <w:rPr>
          <w:rFonts w:cs="Traditional Arabic"/>
          <w:sz w:val="34"/>
          <w:szCs w:val="34"/>
          <w:rtl/>
        </w:rPr>
        <w:t xml:space="preserve"> لأنَّ انكسار هذا أعظم من انكسار الضلع الذي في قفص الصدر.</w:t>
      </w:r>
    </w:p>
    <w:p w:rsidR="00A05229" w:rsidRPr="00BE78C0" w:rsidRDefault="00A05229" w:rsidP="00566235">
      <w:pPr>
        <w:spacing w:before="120" w:after="0" w:line="240" w:lineRule="auto"/>
        <w:ind w:firstLine="720"/>
        <w:jc w:val="both"/>
        <w:rPr>
          <w:rFonts w:cs="Traditional Arabic"/>
          <w:sz w:val="34"/>
          <w:szCs w:val="34"/>
          <w:rtl/>
        </w:rPr>
      </w:pPr>
      <w:r w:rsidRPr="00BE78C0">
        <w:rPr>
          <w:rFonts w:cs="Traditional Arabic"/>
          <w:sz w:val="34"/>
          <w:szCs w:val="34"/>
          <w:rtl/>
        </w:rPr>
        <w:t xml:space="preserve">{قال -رَحِمَهُ اللهُ تَعَالَى: </w:t>
      </w:r>
      <w:r w:rsidRPr="00BE78C0">
        <w:rPr>
          <w:rFonts w:cs="Traditional Arabic"/>
          <w:color w:val="0000FF"/>
          <w:sz w:val="34"/>
          <w:szCs w:val="34"/>
          <w:rtl/>
        </w:rPr>
        <w:t>(وَفِيْ الزَّنْدَيْنِ أَرْبَعَةُ أَبْعِرَةٍ)</w:t>
      </w:r>
      <w:r w:rsidRPr="00BE78C0">
        <w:rPr>
          <w:rFonts w:cs="Traditional Arabic"/>
          <w:sz w:val="34"/>
          <w:szCs w:val="34"/>
          <w:rtl/>
        </w:rPr>
        <w:t>}.</w:t>
      </w:r>
    </w:p>
    <w:p w:rsidR="00A05229" w:rsidRPr="00BE78C0" w:rsidRDefault="00A05229" w:rsidP="00566235">
      <w:pPr>
        <w:spacing w:before="120" w:after="0" w:line="240" w:lineRule="auto"/>
        <w:ind w:firstLine="720"/>
        <w:jc w:val="both"/>
        <w:rPr>
          <w:rFonts w:cs="Traditional Arabic"/>
          <w:sz w:val="34"/>
          <w:szCs w:val="34"/>
          <w:rtl/>
        </w:rPr>
      </w:pPr>
      <w:r w:rsidRPr="00BE78C0">
        <w:rPr>
          <w:rFonts w:cs="Traditional Arabic"/>
          <w:sz w:val="34"/>
          <w:szCs w:val="34"/>
          <w:u w:val="dotDotDash" w:color="FF0000"/>
          <w:rtl/>
        </w:rPr>
        <w:t>الزَّند</w:t>
      </w:r>
      <w:r w:rsidRPr="00BE78C0">
        <w:rPr>
          <w:rFonts w:cs="Traditional Arabic"/>
          <w:sz w:val="34"/>
          <w:szCs w:val="34"/>
          <w:rtl/>
        </w:rPr>
        <w:t>: هو ما يربط بينَ ساعده وكفِّه.</w:t>
      </w:r>
    </w:p>
    <w:p w:rsidR="00A05229" w:rsidRPr="00BE78C0" w:rsidRDefault="00A05229" w:rsidP="00566235">
      <w:pPr>
        <w:spacing w:before="120" w:after="0" w:line="240" w:lineRule="auto"/>
        <w:ind w:firstLine="720"/>
        <w:jc w:val="both"/>
        <w:rPr>
          <w:rFonts w:cs="Traditional Arabic"/>
          <w:sz w:val="34"/>
          <w:szCs w:val="34"/>
          <w:rtl/>
        </w:rPr>
      </w:pPr>
      <w:r w:rsidRPr="00BE78C0">
        <w:rPr>
          <w:rFonts w:cs="Traditional Arabic"/>
          <w:sz w:val="34"/>
          <w:szCs w:val="34"/>
          <w:rtl/>
        </w:rPr>
        <w:t>وانكساره يكون شديد جدًّا سواء كان في إعادته أو في ألمه وما يتعلق به.</w:t>
      </w:r>
    </w:p>
    <w:p w:rsidR="00A05229" w:rsidRPr="00BE78C0" w:rsidRDefault="00A05229" w:rsidP="00566235">
      <w:pPr>
        <w:spacing w:before="120" w:after="0" w:line="240" w:lineRule="auto"/>
        <w:ind w:firstLine="720"/>
        <w:jc w:val="both"/>
        <w:rPr>
          <w:rFonts w:cs="Traditional Arabic"/>
          <w:sz w:val="34"/>
          <w:szCs w:val="34"/>
          <w:rtl/>
        </w:rPr>
      </w:pPr>
      <w:r w:rsidRPr="00BE78C0">
        <w:rPr>
          <w:rFonts w:cs="Traditional Arabic"/>
          <w:sz w:val="34"/>
          <w:szCs w:val="34"/>
          <w:rtl/>
        </w:rPr>
        <w:lastRenderedPageBreak/>
        <w:t xml:space="preserve">وبعض الناس يظنون أنَّ الزَّند هو الذي </w:t>
      </w:r>
      <w:r w:rsidR="00E53BCE" w:rsidRPr="00BE78C0">
        <w:rPr>
          <w:rFonts w:cs="Traditional Arabic"/>
          <w:sz w:val="34"/>
          <w:szCs w:val="34"/>
          <w:rtl/>
        </w:rPr>
        <w:t xml:space="preserve">تحت الكتف، وهذا ليس بصحيحٍ؛ بل </w:t>
      </w:r>
      <w:r w:rsidRPr="00BE78C0">
        <w:rPr>
          <w:rFonts w:cs="Traditional Arabic"/>
          <w:sz w:val="34"/>
          <w:szCs w:val="34"/>
          <w:rtl/>
        </w:rPr>
        <w:t>الزند هو ما يربط بينَ ساعده وكفِّه.</w:t>
      </w:r>
    </w:p>
    <w:p w:rsidR="00A05229" w:rsidRPr="00BE78C0" w:rsidRDefault="00A05229" w:rsidP="00566235">
      <w:pPr>
        <w:spacing w:before="120" w:after="0" w:line="240" w:lineRule="auto"/>
        <w:ind w:firstLine="720"/>
        <w:jc w:val="both"/>
        <w:rPr>
          <w:rFonts w:cs="Traditional Arabic"/>
          <w:sz w:val="34"/>
          <w:szCs w:val="34"/>
          <w:rtl/>
        </w:rPr>
      </w:pPr>
      <w:r w:rsidRPr="00BE78C0">
        <w:rPr>
          <w:rFonts w:cs="Traditional Arabic"/>
          <w:sz w:val="34"/>
          <w:szCs w:val="34"/>
          <w:rtl/>
        </w:rPr>
        <w:t xml:space="preserve">يقول المؤلف: </w:t>
      </w:r>
      <w:r w:rsidRPr="00BE78C0">
        <w:rPr>
          <w:rFonts w:cs="Traditional Arabic"/>
          <w:color w:val="0000FF"/>
          <w:sz w:val="34"/>
          <w:szCs w:val="34"/>
          <w:rtl/>
        </w:rPr>
        <w:t>(وَفِيْ الزَّنْدَيْنِ أَرْبَعَةُ أَبْعِرَةٍ)</w:t>
      </w:r>
      <w:r w:rsidRPr="00BE78C0">
        <w:rPr>
          <w:rFonts w:cs="Traditional Arabic"/>
          <w:sz w:val="34"/>
          <w:szCs w:val="34"/>
          <w:rtl/>
        </w:rPr>
        <w:t>، يعني</w:t>
      </w:r>
      <w:r w:rsidR="008D7EB5" w:rsidRPr="00BE78C0">
        <w:rPr>
          <w:rFonts w:cs="Traditional Arabic" w:hint="cs"/>
          <w:sz w:val="34"/>
          <w:szCs w:val="34"/>
          <w:rtl/>
        </w:rPr>
        <w:t>:</w:t>
      </w:r>
      <w:r w:rsidRPr="00BE78C0">
        <w:rPr>
          <w:rFonts w:cs="Traditional Arabic"/>
          <w:sz w:val="34"/>
          <w:szCs w:val="34"/>
          <w:rtl/>
        </w:rPr>
        <w:t xml:space="preserve"> في كل واحدٍ من الزندين بعيران، على ما جاء بذلك الأثر.</w:t>
      </w:r>
    </w:p>
    <w:p w:rsidR="00A05229" w:rsidRPr="00AF11FE" w:rsidRDefault="00A05229" w:rsidP="00566235">
      <w:pPr>
        <w:spacing w:before="120" w:after="0" w:line="240" w:lineRule="auto"/>
        <w:ind w:firstLine="720"/>
        <w:jc w:val="both"/>
        <w:rPr>
          <w:rFonts w:cs="Traditional Arabic"/>
          <w:sz w:val="34"/>
          <w:szCs w:val="34"/>
          <w:rtl/>
        </w:rPr>
      </w:pPr>
      <w:r w:rsidRPr="00AF11FE">
        <w:rPr>
          <w:rFonts w:cs="Traditional Arabic"/>
          <w:sz w:val="34"/>
          <w:szCs w:val="34"/>
          <w:rtl/>
        </w:rPr>
        <w:t xml:space="preserve">{قال -رَحِمَهُ اللهُ تَعَالَى: </w:t>
      </w:r>
      <w:r w:rsidRPr="00483EBE">
        <w:rPr>
          <w:rFonts w:cs="Traditional Arabic"/>
          <w:color w:val="0000FF"/>
          <w:sz w:val="34"/>
          <w:szCs w:val="34"/>
          <w:rtl/>
        </w:rPr>
        <w:t>(وَمَا عَدَا هَذَا مِمَّا لاَ مُقَدَّرَ فِيْهِ، وَلاَ هُوَ فِيْ مَعْنَاهُ، فَفِيْهِ حُكُوْمَةٌ)</w:t>
      </w:r>
      <w:r w:rsidRPr="00AF11FE">
        <w:rPr>
          <w:rFonts w:cs="Traditional Arabic"/>
          <w:sz w:val="34"/>
          <w:szCs w:val="34"/>
          <w:rtl/>
        </w:rPr>
        <w:t>}.</w:t>
      </w:r>
    </w:p>
    <w:p w:rsidR="00A05229" w:rsidRPr="00AF11FE" w:rsidRDefault="00A05229" w:rsidP="00566235">
      <w:pPr>
        <w:spacing w:before="120" w:after="0" w:line="240" w:lineRule="auto"/>
        <w:ind w:firstLine="720"/>
        <w:jc w:val="both"/>
        <w:rPr>
          <w:rFonts w:cs="Traditional Arabic"/>
          <w:sz w:val="34"/>
          <w:szCs w:val="34"/>
          <w:rtl/>
        </w:rPr>
      </w:pPr>
      <w:r w:rsidRPr="00AF11FE">
        <w:rPr>
          <w:rFonts w:cs="Traditional Arabic"/>
          <w:sz w:val="34"/>
          <w:szCs w:val="34"/>
          <w:rtl/>
        </w:rPr>
        <w:t>يعني</w:t>
      </w:r>
      <w:r w:rsidR="008D7EB5">
        <w:rPr>
          <w:rFonts w:cs="Traditional Arabic" w:hint="cs"/>
          <w:sz w:val="34"/>
          <w:szCs w:val="34"/>
          <w:rtl/>
        </w:rPr>
        <w:t>:</w:t>
      </w:r>
      <w:r w:rsidRPr="00AF11FE">
        <w:rPr>
          <w:rFonts w:cs="Traditional Arabic"/>
          <w:sz w:val="34"/>
          <w:szCs w:val="34"/>
          <w:rtl/>
        </w:rPr>
        <w:t xml:space="preserve"> فيه أشياء فيها تقدير فهو على تقديرها، وربما عرضها المؤلف -رَحِمَهُ اللهُ تَعَالَى- اختصارًا</w:t>
      </w:r>
      <w:r w:rsidR="00AF11FE">
        <w:rPr>
          <w:rFonts w:cs="Traditional Arabic"/>
          <w:sz w:val="34"/>
          <w:szCs w:val="34"/>
          <w:rtl/>
        </w:rPr>
        <w:t>،</w:t>
      </w:r>
      <w:r w:rsidRPr="00AF11FE">
        <w:rPr>
          <w:rFonts w:cs="Traditional Arabic"/>
          <w:sz w:val="34"/>
          <w:szCs w:val="34"/>
          <w:rtl/>
        </w:rPr>
        <w:t xml:space="preserve"> أو ذكرها على سبيل الأصل ودخلت فيها جملةٌ من المسائل، فما لا تقدير فيه أو ما في معنى المقدَّر ففيه حكومة، وذكرنا أن</w:t>
      </w:r>
      <w:r w:rsidR="008D7EB5">
        <w:rPr>
          <w:rFonts w:cs="Traditional Arabic" w:hint="cs"/>
          <w:sz w:val="34"/>
          <w:szCs w:val="34"/>
          <w:rtl/>
        </w:rPr>
        <w:t>َّ</w:t>
      </w:r>
      <w:r w:rsidRPr="00AF11FE">
        <w:rPr>
          <w:rFonts w:cs="Traditional Arabic"/>
          <w:sz w:val="34"/>
          <w:szCs w:val="34"/>
          <w:rtl/>
        </w:rPr>
        <w:t xml:space="preserve"> تقدير الحكومة يكون إلى القاضي فيما ينظر فيه، ولكن لا يُبلغ بها إلى دية الجرح الذي فوقه، أو الذي من جنسه.</w:t>
      </w:r>
    </w:p>
    <w:p w:rsidR="00A05229" w:rsidRPr="00AF11FE" w:rsidRDefault="00A05229" w:rsidP="00566235">
      <w:pPr>
        <w:spacing w:before="120" w:after="0" w:line="240" w:lineRule="auto"/>
        <w:ind w:firstLine="720"/>
        <w:jc w:val="both"/>
        <w:rPr>
          <w:rFonts w:cs="Traditional Arabic"/>
          <w:sz w:val="34"/>
          <w:szCs w:val="34"/>
          <w:rtl/>
        </w:rPr>
      </w:pPr>
      <w:r w:rsidRPr="00AF11FE">
        <w:rPr>
          <w:rFonts w:cs="Traditional Arabic"/>
          <w:sz w:val="34"/>
          <w:szCs w:val="34"/>
          <w:rtl/>
        </w:rPr>
        <w:t xml:space="preserve">{قال -رَحِمَهُ اللهُ تَعَالَى: </w:t>
      </w:r>
      <w:r w:rsidRPr="00483EBE">
        <w:rPr>
          <w:rFonts w:cs="Traditional Arabic"/>
          <w:color w:val="0000FF"/>
          <w:sz w:val="34"/>
          <w:szCs w:val="34"/>
          <w:rtl/>
        </w:rPr>
        <w:t>(وَهِيَ أَنْ يُقَوَّمَ الْمَجْنِيُّ عَلَيْهِ كَأَنَّهُ عَبْدٌ لاَ جِنَايَةَ بِهِ، ثَمَّ يُقَوَّمَ، وَهِيَ بِهِ قَدْ بَرَأَتْ، فَمَا نَقَصَ مِنْ قِيْمَتِهِ، فَلَهُ بِقِسْطِهِ مِنْ دِيَتِهِ)</w:t>
      </w:r>
      <w:r w:rsidRPr="00AF11FE">
        <w:rPr>
          <w:rFonts w:cs="Traditional Arabic"/>
          <w:sz w:val="34"/>
          <w:szCs w:val="34"/>
          <w:rtl/>
        </w:rPr>
        <w:t>}.</w:t>
      </w:r>
    </w:p>
    <w:p w:rsidR="00A05229" w:rsidRPr="00AF11FE" w:rsidRDefault="00A05229" w:rsidP="00566235">
      <w:pPr>
        <w:spacing w:before="120" w:after="0" w:line="240" w:lineRule="auto"/>
        <w:ind w:firstLine="720"/>
        <w:jc w:val="both"/>
        <w:rPr>
          <w:rFonts w:cs="Traditional Arabic"/>
          <w:sz w:val="34"/>
          <w:szCs w:val="34"/>
          <w:rtl/>
        </w:rPr>
      </w:pPr>
      <w:r w:rsidRPr="00AF11FE">
        <w:rPr>
          <w:rFonts w:cs="Traditional Arabic"/>
          <w:sz w:val="34"/>
          <w:szCs w:val="34"/>
          <w:rtl/>
        </w:rPr>
        <w:t>يُقوَّم وهو صحيح، ثم يُقوَّم بعدَ بُرئه، فأحيانًا يكون للجُرح أثر، وأحيانًا يبقى لها ألم، أحي</w:t>
      </w:r>
      <w:r w:rsidR="00E53BCE" w:rsidRPr="00AF11FE">
        <w:rPr>
          <w:rFonts w:cs="Traditional Arabic"/>
          <w:sz w:val="34"/>
          <w:szCs w:val="34"/>
          <w:rtl/>
        </w:rPr>
        <w:t>ا</w:t>
      </w:r>
      <w:r w:rsidRPr="00AF11FE">
        <w:rPr>
          <w:rFonts w:cs="Traditional Arabic"/>
          <w:sz w:val="34"/>
          <w:szCs w:val="34"/>
          <w:rtl/>
        </w:rPr>
        <w:t>نًا يكون فيه تشوُّه، أحيانًا تُلقي بظلالها على الشخص فيكون فيه تخوُّفٍ وعدم إقدامٍ كان فيه سابق، وهكذا...، فما نقصت من قيمته فله بقسطه من الدية مثلما قلنا قبل قليل.</w:t>
      </w:r>
    </w:p>
    <w:p w:rsidR="00A05229" w:rsidRPr="00AF11FE" w:rsidRDefault="00A05229" w:rsidP="00566235">
      <w:pPr>
        <w:spacing w:before="120" w:after="0" w:line="240" w:lineRule="auto"/>
        <w:ind w:firstLine="720"/>
        <w:jc w:val="both"/>
        <w:rPr>
          <w:rFonts w:cs="Traditional Arabic"/>
          <w:sz w:val="34"/>
          <w:szCs w:val="34"/>
          <w:rtl/>
        </w:rPr>
      </w:pPr>
      <w:r w:rsidRPr="00AF11FE">
        <w:rPr>
          <w:rFonts w:cs="Traditional Arabic"/>
          <w:sz w:val="34"/>
          <w:szCs w:val="34"/>
          <w:rtl/>
        </w:rPr>
        <w:t xml:space="preserve">{قال -رَحِمَهُ اللهُ تَعَالَى: </w:t>
      </w:r>
      <w:r w:rsidRPr="00483EBE">
        <w:rPr>
          <w:rFonts w:cs="Traditional Arabic"/>
          <w:color w:val="0000FF"/>
          <w:sz w:val="34"/>
          <w:szCs w:val="34"/>
          <w:rtl/>
        </w:rPr>
        <w:t>(إِلاَّ أَنْ تَكُوْنَ اْلجِنَايَةُ عَلى عُضْوٍ فِيْهِ مُقَدَّرٌ، فَلاَ يُجَاوِزُ بِهِ أَرْشَ الْمُقَدَّرِ، مِثْلَ أَنْ يَشُجَّهُ دُوْنَ الْمُوْضِحَةِ، فَلاَ يَجِبُ أَكْثَرُ مِنْ أَرْشِهَا، أَوْ يَجْرَحُ أَنْمُلَةً، فَلاَ يَجِبُ أَكْثَرُ مِنْ دِيَتِهَا)</w:t>
      </w:r>
      <w:r w:rsidRPr="00AF11FE">
        <w:rPr>
          <w:rFonts w:cs="Traditional Arabic"/>
          <w:sz w:val="34"/>
          <w:szCs w:val="34"/>
          <w:rtl/>
        </w:rPr>
        <w:t>}.</w:t>
      </w:r>
    </w:p>
    <w:p w:rsidR="00A05229" w:rsidRPr="00AF11FE" w:rsidRDefault="00A05229" w:rsidP="00566235">
      <w:pPr>
        <w:spacing w:before="120" w:after="0" w:line="240" w:lineRule="auto"/>
        <w:ind w:firstLine="720"/>
        <w:jc w:val="both"/>
        <w:rPr>
          <w:rFonts w:cs="Traditional Arabic"/>
          <w:sz w:val="34"/>
          <w:szCs w:val="34"/>
          <w:rtl/>
        </w:rPr>
      </w:pPr>
      <w:r w:rsidRPr="00AF11FE">
        <w:rPr>
          <w:rFonts w:cs="Traditional Arabic"/>
          <w:sz w:val="34"/>
          <w:szCs w:val="34"/>
          <w:rtl/>
        </w:rPr>
        <w:t>لو كسرَ الضِّلع ففيه بعير، والتَّرقوة فيها بعيران؛ أمَّا لو ضربَ الضلع فآلمه مع جرح يسير فقط ولم يكن فيه سوى ذلك؛ فلا يُمكَن أن يُبلغ بها مبلغَ ديةِ التَّرقوة أو ال</w:t>
      </w:r>
      <w:r w:rsidR="00E53BCE">
        <w:rPr>
          <w:rFonts w:cs="Traditional Arabic" w:hint="cs"/>
          <w:sz w:val="34"/>
          <w:szCs w:val="34"/>
          <w:rtl/>
        </w:rPr>
        <w:t>أ</w:t>
      </w:r>
      <w:r w:rsidRPr="00AF11FE">
        <w:rPr>
          <w:rFonts w:cs="Traditional Arabic"/>
          <w:sz w:val="34"/>
          <w:szCs w:val="34"/>
          <w:rtl/>
        </w:rPr>
        <w:t>ضِّلاع -على ما تقدَّم.</w:t>
      </w:r>
    </w:p>
    <w:p w:rsidR="00A05229" w:rsidRPr="00AF11FE" w:rsidRDefault="00A05229" w:rsidP="00566235">
      <w:pPr>
        <w:spacing w:before="120" w:after="0" w:line="240" w:lineRule="auto"/>
        <w:ind w:firstLine="720"/>
        <w:jc w:val="both"/>
        <w:rPr>
          <w:rFonts w:cs="Traditional Arabic"/>
          <w:sz w:val="34"/>
          <w:szCs w:val="34"/>
          <w:rtl/>
        </w:rPr>
      </w:pPr>
      <w:r w:rsidRPr="00AF11FE">
        <w:rPr>
          <w:rFonts w:cs="Traditional Arabic"/>
          <w:sz w:val="34"/>
          <w:szCs w:val="34"/>
          <w:rtl/>
        </w:rPr>
        <w:t>ومثل ذلك ما ذكره المؤلف -رَحِمَهُ اللهُ تَعَالَى- ما لو ضربه أقل من الموضحة ففيها حكومة، ولكن لا يبلغ بها الموضحة، فالموضحة فيها خمس بعير، فلا يستقيم أن نقول في البازلة أو في الحارصة أو في المتلاحمة عشر إبل، فهذا نوعُ تضاربٍ يُنزَّه عنه الشَّرع.</w:t>
      </w:r>
    </w:p>
    <w:p w:rsidR="00A05229" w:rsidRPr="00AF11FE" w:rsidRDefault="00A05229" w:rsidP="00566235">
      <w:pPr>
        <w:spacing w:before="120" w:after="0" w:line="240" w:lineRule="auto"/>
        <w:ind w:firstLine="720"/>
        <w:jc w:val="both"/>
        <w:rPr>
          <w:rFonts w:cs="Traditional Arabic"/>
          <w:sz w:val="34"/>
          <w:szCs w:val="34"/>
          <w:rtl/>
        </w:rPr>
      </w:pPr>
      <w:r w:rsidRPr="00AF11FE">
        <w:rPr>
          <w:rFonts w:cs="Traditional Arabic"/>
          <w:sz w:val="34"/>
          <w:szCs w:val="34"/>
          <w:rtl/>
        </w:rPr>
        <w:t>إذن ما لم يكن مقدَّرًا فالأمر فيه بحسب التَّقدير، فلو ضربه في ذكره، وقلنا: إنَّ الضرب في الذكر لا يكون جائفة في الصورة التي ذكرناها، ومع ذلك قد يكون فيها أكثر من ثلث الدية، باعتبار أنَّه يلحقه في ذلك نقصٌّ كثير أو ضعف أو ألم أو غير ذلك، فمثل هذا محل نظر.</w:t>
      </w:r>
    </w:p>
    <w:p w:rsidR="00A05229" w:rsidRPr="00AF11FE" w:rsidRDefault="00A05229" w:rsidP="008D7EB5">
      <w:pPr>
        <w:spacing w:before="120" w:after="0" w:line="240" w:lineRule="auto"/>
        <w:ind w:firstLine="720"/>
        <w:jc w:val="both"/>
        <w:rPr>
          <w:rFonts w:cs="Traditional Arabic"/>
          <w:sz w:val="34"/>
          <w:szCs w:val="34"/>
          <w:rtl/>
        </w:rPr>
      </w:pPr>
      <w:r w:rsidRPr="00AF11FE">
        <w:rPr>
          <w:rFonts w:cs="Traditional Arabic"/>
          <w:sz w:val="34"/>
          <w:szCs w:val="34"/>
          <w:rtl/>
        </w:rPr>
        <w:lastRenderedPageBreak/>
        <w:t xml:space="preserve">قال المؤلف </w:t>
      </w:r>
      <w:r w:rsidRPr="00483EBE">
        <w:rPr>
          <w:rFonts w:cs="Traditional Arabic"/>
          <w:color w:val="0000FF"/>
          <w:sz w:val="34"/>
          <w:szCs w:val="34"/>
          <w:rtl/>
        </w:rPr>
        <w:t>(أَوْ يَجْرَحُ أَنْمُلَةً، فَلاَ يَجِبُ أَكْثَرُ مِنْ دِيَتِهَا)</w:t>
      </w:r>
      <w:r w:rsidR="008D7EB5">
        <w:rPr>
          <w:rFonts w:cs="Traditional Arabic" w:hint="cs"/>
          <w:sz w:val="34"/>
          <w:szCs w:val="34"/>
          <w:rtl/>
        </w:rPr>
        <w:t>؛</w:t>
      </w:r>
      <w:r w:rsidRPr="00AF11FE">
        <w:rPr>
          <w:rFonts w:cs="Traditional Arabic"/>
          <w:sz w:val="34"/>
          <w:szCs w:val="34"/>
          <w:rtl/>
        </w:rPr>
        <w:t xml:space="preserve"> لأنَّ الأصبع فيه عشرة أبعر، وفي الأنملة ثُلث ذلك، فجرح الأنملة لا يبلغ به ثلاثة أبعر وثلث.</w:t>
      </w:r>
    </w:p>
    <w:p w:rsidR="00A05229" w:rsidRPr="00BE78C0" w:rsidRDefault="00A05229" w:rsidP="00566235">
      <w:pPr>
        <w:spacing w:before="120" w:after="0" w:line="240" w:lineRule="auto"/>
        <w:ind w:firstLine="720"/>
        <w:jc w:val="both"/>
        <w:rPr>
          <w:rFonts w:cs="Traditional Arabic"/>
          <w:sz w:val="34"/>
          <w:szCs w:val="34"/>
          <w:rtl/>
        </w:rPr>
      </w:pPr>
      <w:r w:rsidRPr="00BE78C0">
        <w:rPr>
          <w:rFonts w:cs="Traditional Arabic"/>
          <w:sz w:val="34"/>
          <w:szCs w:val="34"/>
          <w:rtl/>
        </w:rPr>
        <w:t xml:space="preserve">{قال -رَحِمَهُ اللهُ تَعَالَى: </w:t>
      </w:r>
      <w:r w:rsidRPr="00BE78C0">
        <w:rPr>
          <w:rFonts w:cs="Traditional Arabic"/>
          <w:color w:val="0000FF"/>
          <w:sz w:val="34"/>
          <w:szCs w:val="34"/>
          <w:rtl/>
        </w:rPr>
        <w:t>(باَبُ كَفاَّرَةِ اْلقَتْلِ)</w:t>
      </w:r>
      <w:r w:rsidRPr="00BE78C0">
        <w:rPr>
          <w:rFonts w:cs="Traditional Arabic"/>
          <w:sz w:val="34"/>
          <w:szCs w:val="34"/>
          <w:rtl/>
        </w:rPr>
        <w:t>}.</w:t>
      </w:r>
    </w:p>
    <w:p w:rsidR="00A05229" w:rsidRPr="00BE78C0" w:rsidRDefault="00A05229" w:rsidP="00566235">
      <w:pPr>
        <w:spacing w:before="120" w:after="0" w:line="240" w:lineRule="auto"/>
        <w:ind w:firstLine="720"/>
        <w:jc w:val="both"/>
        <w:rPr>
          <w:rFonts w:cs="Traditional Arabic"/>
          <w:sz w:val="34"/>
          <w:szCs w:val="34"/>
          <w:rtl/>
        </w:rPr>
      </w:pPr>
      <w:r w:rsidRPr="00BE78C0">
        <w:rPr>
          <w:rFonts w:cs="Traditional Arabic"/>
          <w:sz w:val="34"/>
          <w:szCs w:val="34"/>
          <w:rtl/>
        </w:rPr>
        <w:t>جاءت كفارة القتل في الكتاب والسُّنَّة، وهي محل اتفاق بين أهل العلم، قال تعالى:</w:t>
      </w:r>
      <w:r w:rsidR="00AF11FE" w:rsidRPr="00BE78C0">
        <w:rPr>
          <w:rFonts w:cs="Traditional Arabic"/>
          <w:sz w:val="34"/>
          <w:szCs w:val="34"/>
          <w:rtl/>
        </w:rPr>
        <w:t xml:space="preserve"> </w:t>
      </w:r>
      <w:r w:rsidR="00E53BCE" w:rsidRPr="00BE78C0">
        <w:rPr>
          <w:rFonts w:cs="Traditional Arabic" w:hint="cs"/>
          <w:color w:val="FF0000"/>
          <w:sz w:val="34"/>
          <w:szCs w:val="34"/>
          <w:rtl/>
        </w:rPr>
        <w:t>﴿</w:t>
      </w:r>
      <w:r w:rsidR="00E53BCE" w:rsidRPr="00BE78C0">
        <w:rPr>
          <w:rFonts w:cs="Traditional Arabic"/>
          <w:color w:val="FF0000"/>
          <w:sz w:val="34"/>
          <w:szCs w:val="34"/>
          <w:rtl/>
        </w:rPr>
        <w:t>وَمَا كَانَ لِمُؤْمِنٍ أَنْ يَقْتُلَ مُؤْمِنًا إِلَّا خَطَأً وَمَنْ قَتَلَ مُؤْمِنًا خَطَأً فَتَحْرِيرُ رَقَبَةٍ مُؤْمِنَةٍ</w:t>
      </w:r>
      <w:r w:rsidR="00E53BCE" w:rsidRPr="00BE78C0">
        <w:rPr>
          <w:rFonts w:cs="Traditional Arabic" w:hint="cs"/>
          <w:color w:val="FF0000"/>
          <w:sz w:val="34"/>
          <w:szCs w:val="34"/>
          <w:rtl/>
        </w:rPr>
        <w:t>﴾</w:t>
      </w:r>
      <w:r w:rsidRPr="00BE78C0">
        <w:rPr>
          <w:rFonts w:cs="Traditional Arabic"/>
          <w:sz w:val="34"/>
          <w:szCs w:val="34"/>
          <w:rtl/>
        </w:rPr>
        <w:t xml:space="preserve"> </w:t>
      </w:r>
      <w:r w:rsidRPr="00BE78C0">
        <w:rPr>
          <w:rFonts w:cs="Traditional Arabic"/>
          <w:sz w:val="24"/>
          <w:szCs w:val="24"/>
          <w:rtl/>
        </w:rPr>
        <w:t>[النساء</w:t>
      </w:r>
      <w:r w:rsidR="00E53BCE" w:rsidRPr="00BE78C0">
        <w:rPr>
          <w:rFonts w:cs="Traditional Arabic" w:hint="cs"/>
          <w:sz w:val="24"/>
          <w:szCs w:val="24"/>
          <w:rtl/>
        </w:rPr>
        <w:t xml:space="preserve">: </w:t>
      </w:r>
      <w:r w:rsidRPr="00BE78C0">
        <w:rPr>
          <w:rFonts w:cs="Traditional Arabic"/>
          <w:sz w:val="24"/>
          <w:szCs w:val="24"/>
          <w:rtl/>
        </w:rPr>
        <w:t>92]</w:t>
      </w:r>
      <w:r w:rsidR="00AF11FE" w:rsidRPr="00BE78C0">
        <w:rPr>
          <w:rFonts w:cs="Traditional Arabic"/>
          <w:sz w:val="34"/>
          <w:szCs w:val="34"/>
          <w:rtl/>
        </w:rPr>
        <w:t>،</w:t>
      </w:r>
      <w:r w:rsidRPr="00BE78C0">
        <w:rPr>
          <w:rFonts w:cs="Traditional Arabic"/>
          <w:sz w:val="34"/>
          <w:szCs w:val="34"/>
          <w:rtl/>
        </w:rPr>
        <w:t xml:space="preserve"> والنبي -صَ</w:t>
      </w:r>
      <w:r w:rsidR="008D7EB5" w:rsidRPr="00BE78C0">
        <w:rPr>
          <w:rFonts w:cs="Traditional Arabic"/>
          <w:sz w:val="34"/>
          <w:szCs w:val="34"/>
          <w:rtl/>
        </w:rPr>
        <w:t>لَّى اللهُ عَلَيْه وَسَلَّمَ- ل</w:t>
      </w:r>
      <w:r w:rsidR="008D7EB5" w:rsidRPr="00BE78C0">
        <w:rPr>
          <w:rFonts w:cs="Traditional Arabic" w:hint="cs"/>
          <w:sz w:val="34"/>
          <w:szCs w:val="34"/>
          <w:rtl/>
        </w:rPr>
        <w:t>َمَّا</w:t>
      </w:r>
      <w:r w:rsidRPr="00BE78C0">
        <w:rPr>
          <w:rFonts w:cs="Traditional Arabic"/>
          <w:sz w:val="34"/>
          <w:szCs w:val="34"/>
          <w:rtl/>
        </w:rPr>
        <w:t xml:space="preserve"> قُتل عبد الله بن سهلٍ أوجبَ فيه الدية، وكذلك في المرأتين الهذليتين، فهذا محل إجماع بين أهل العلم.</w:t>
      </w:r>
    </w:p>
    <w:p w:rsidR="00A05229" w:rsidRPr="00BE78C0" w:rsidRDefault="00A05229" w:rsidP="00566235">
      <w:pPr>
        <w:spacing w:before="120" w:after="0" w:line="240" w:lineRule="auto"/>
        <w:ind w:firstLine="720"/>
        <w:jc w:val="both"/>
        <w:rPr>
          <w:rFonts w:cs="Traditional Arabic"/>
          <w:sz w:val="34"/>
          <w:szCs w:val="34"/>
          <w:rtl/>
        </w:rPr>
      </w:pPr>
      <w:r w:rsidRPr="00BE78C0">
        <w:rPr>
          <w:rFonts w:cs="Traditional Arabic"/>
          <w:sz w:val="34"/>
          <w:szCs w:val="34"/>
          <w:rtl/>
        </w:rPr>
        <w:t>والكفَّارة من حيث الأصل من التَّكفير</w:t>
      </w:r>
      <w:r w:rsidR="00AF11FE" w:rsidRPr="00BE78C0">
        <w:rPr>
          <w:rFonts w:cs="Traditional Arabic"/>
          <w:sz w:val="34"/>
          <w:szCs w:val="34"/>
          <w:rtl/>
        </w:rPr>
        <w:t>،</w:t>
      </w:r>
      <w:r w:rsidRPr="00BE78C0">
        <w:rPr>
          <w:rFonts w:cs="Traditional Arabic"/>
          <w:sz w:val="34"/>
          <w:szCs w:val="34"/>
          <w:rtl/>
        </w:rPr>
        <w:t xml:space="preserve"> وهو التَّغطية، لأنَّها تُغطِّي إثمها وأثرها، وسُمِّيَ الكفرُ كفرًا لأنَّه يُغطي الإيمان ويُذهبه؛ فيُعلَم من ذلك سبب التَّقارب بين "الكفارة" و"الكفر" في أنَّ كلًّا منهما فيه تغطية، ولكن "الكفارة" تغطية للإثم، و"الكفر" تغطيةٌ للإسلام والإيمان.</w:t>
      </w:r>
    </w:p>
    <w:p w:rsidR="00A05229" w:rsidRPr="00AF11FE" w:rsidRDefault="00A05229" w:rsidP="00566235">
      <w:pPr>
        <w:spacing w:before="120" w:after="0" w:line="240" w:lineRule="auto"/>
        <w:ind w:firstLine="720"/>
        <w:jc w:val="both"/>
        <w:rPr>
          <w:rFonts w:cs="Traditional Arabic"/>
          <w:sz w:val="34"/>
          <w:szCs w:val="34"/>
          <w:rtl/>
        </w:rPr>
      </w:pPr>
      <w:r w:rsidRPr="00AF11FE">
        <w:rPr>
          <w:rFonts w:cs="Traditional Arabic"/>
          <w:sz w:val="34"/>
          <w:szCs w:val="34"/>
          <w:rtl/>
        </w:rPr>
        <w:t>وقول المؤلف</w:t>
      </w:r>
      <w:r w:rsidR="004C028E">
        <w:rPr>
          <w:rFonts w:cs="Traditional Arabic" w:hint="cs"/>
          <w:sz w:val="34"/>
          <w:szCs w:val="34"/>
          <w:rtl/>
        </w:rPr>
        <w:t>:</w:t>
      </w:r>
      <w:r w:rsidRPr="00AF11FE">
        <w:rPr>
          <w:rFonts w:cs="Traditional Arabic"/>
          <w:sz w:val="34"/>
          <w:szCs w:val="34"/>
          <w:rtl/>
        </w:rPr>
        <w:t xml:space="preserve"> </w:t>
      </w:r>
      <w:r w:rsidRPr="00483EBE">
        <w:rPr>
          <w:rFonts w:cs="Traditional Arabic"/>
          <w:color w:val="0000FF"/>
          <w:sz w:val="34"/>
          <w:szCs w:val="34"/>
          <w:rtl/>
        </w:rPr>
        <w:t>(باَبُ كَفاَّرَةِ اْلقَتْلِ)</w:t>
      </w:r>
      <w:r w:rsidRPr="00AF11FE">
        <w:rPr>
          <w:rFonts w:cs="Traditional Arabic"/>
          <w:sz w:val="34"/>
          <w:szCs w:val="34"/>
          <w:rtl/>
        </w:rPr>
        <w:t xml:space="preserve"> دليلٌ على أنَّ الكفارة مختصَّةٌ بالقتل، فما كان دون ذلك من الجراح والشِّجاج مهما بلغ أثرها ومهما عظمت الشَّناعة فيها؛ إلَّا أنَّه لا كفارة فيها، فلا يُمكن أن نقول في الجائفة ثُلث الدية فمن فعل جائفة فعليه ثلث كفارة، ولا نقول فيمن ضرب شخصًا حتَّى أذهبَ بصره فيه ديةٌ فعليه كفارة؛ تلك جراح فيما دون النفس، فلا كفارة فيها، والكفارة مخصوصةٌ ومختصَّةٌ بالقتل فحسب، ولا تُشرَع فيما دونه.</w:t>
      </w:r>
    </w:p>
    <w:p w:rsidR="00A05229" w:rsidRPr="00AF11FE" w:rsidRDefault="00A05229" w:rsidP="00566235">
      <w:pPr>
        <w:spacing w:before="120" w:after="0" w:line="240" w:lineRule="auto"/>
        <w:ind w:firstLine="720"/>
        <w:jc w:val="both"/>
        <w:rPr>
          <w:rFonts w:cs="Traditional Arabic"/>
          <w:sz w:val="34"/>
          <w:szCs w:val="34"/>
          <w:rtl/>
        </w:rPr>
      </w:pPr>
      <w:r w:rsidRPr="00AF11FE">
        <w:rPr>
          <w:rFonts w:cs="Traditional Arabic"/>
          <w:sz w:val="34"/>
          <w:szCs w:val="34"/>
          <w:rtl/>
        </w:rPr>
        <w:t xml:space="preserve">{قال -رَحِمَهُ اللهُ تَعَالَى: </w:t>
      </w:r>
      <w:r w:rsidRPr="00483EBE">
        <w:rPr>
          <w:rFonts w:cs="Traditional Arabic"/>
          <w:color w:val="0000FF"/>
          <w:sz w:val="34"/>
          <w:szCs w:val="34"/>
          <w:rtl/>
        </w:rPr>
        <w:t>(وَمَنْ قَتَلَ مُؤْمِنًا أَوْ ذِمِّيًّا بِغَيْرِ حَقٍّ، أَوْ شَارَكَ فِيْهِ، أَوْ فِيْ إِسْقَاطِ جَنِيْنٍ، وَهِيَ تَحْرِيْرُ رَقَبَةٍ مُؤْمِنَةٍ، فَمَنْ لَمْ يَجِدْ فَصِيَامُ شَهْرَيْنِ مُتَتَابِعَيْنِ، تَوْبَةً مِنَ اللهِ)</w:t>
      </w:r>
      <w:r w:rsidRPr="00AF11FE">
        <w:rPr>
          <w:rFonts w:cs="Traditional Arabic"/>
          <w:sz w:val="34"/>
          <w:szCs w:val="34"/>
          <w:rtl/>
        </w:rPr>
        <w:t>}.</w:t>
      </w:r>
    </w:p>
    <w:p w:rsidR="00A05229" w:rsidRPr="00BE78C0" w:rsidRDefault="00A05229" w:rsidP="00566235">
      <w:pPr>
        <w:spacing w:before="120" w:after="0" w:line="240" w:lineRule="auto"/>
        <w:ind w:firstLine="720"/>
        <w:jc w:val="both"/>
        <w:rPr>
          <w:rFonts w:cs="Traditional Arabic"/>
          <w:sz w:val="34"/>
          <w:szCs w:val="34"/>
          <w:rtl/>
        </w:rPr>
      </w:pPr>
      <w:r w:rsidRPr="00BE78C0">
        <w:rPr>
          <w:rFonts w:cs="Traditional Arabic"/>
          <w:sz w:val="34"/>
          <w:szCs w:val="34"/>
          <w:rtl/>
        </w:rPr>
        <w:t xml:space="preserve">قوله -رَحِمَهُ اللهُ تَعَالَى: </w:t>
      </w:r>
      <w:r w:rsidRPr="00BE78C0">
        <w:rPr>
          <w:rFonts w:cs="Traditional Arabic"/>
          <w:color w:val="0000FF"/>
          <w:sz w:val="34"/>
          <w:szCs w:val="34"/>
          <w:rtl/>
        </w:rPr>
        <w:t>(وَمَنْ قَتَلَ مُؤْمِنًا أَوْ ذِمِّيًّا بِغَيْرِ حَقٍّ)</w:t>
      </w:r>
      <w:r w:rsidRPr="00BE78C0">
        <w:rPr>
          <w:rFonts w:cs="Traditional Arabic"/>
          <w:sz w:val="34"/>
          <w:szCs w:val="34"/>
          <w:rtl/>
        </w:rPr>
        <w:t>.</w:t>
      </w:r>
    </w:p>
    <w:p w:rsidR="00A05229" w:rsidRPr="00BE78C0" w:rsidRDefault="00A05229" w:rsidP="00566235">
      <w:pPr>
        <w:spacing w:before="120" w:after="0" w:line="240" w:lineRule="auto"/>
        <w:ind w:firstLine="720"/>
        <w:jc w:val="both"/>
        <w:rPr>
          <w:rFonts w:cs="Traditional Arabic"/>
          <w:sz w:val="34"/>
          <w:szCs w:val="34"/>
          <w:rtl/>
        </w:rPr>
      </w:pPr>
      <w:r w:rsidRPr="00BE78C0">
        <w:rPr>
          <w:rFonts w:cs="Traditional Arabic"/>
          <w:sz w:val="34"/>
          <w:szCs w:val="34"/>
          <w:rtl/>
        </w:rPr>
        <w:t>القتل الذي تجب فيه الكفارة هو القتل المضمون -أي الذي يجب فيه ضمان- فيخرج من ذلك ما كان قتلًا غير مضمونٍ، والقتل الغير مضمون مثل لو قتله بحق، كأن يأمره السلطان بقتله لكونه يستحق القتل لارتدادٍ أو لقصاص</w:t>
      </w:r>
      <w:r w:rsidR="004C028E" w:rsidRPr="00BE78C0">
        <w:rPr>
          <w:rFonts w:cs="Traditional Arabic" w:hint="cs"/>
          <w:sz w:val="34"/>
          <w:szCs w:val="34"/>
          <w:rtl/>
        </w:rPr>
        <w:t>ٍ</w:t>
      </w:r>
      <w:r w:rsidRPr="00BE78C0">
        <w:rPr>
          <w:rFonts w:cs="Traditional Arabic"/>
          <w:sz w:val="34"/>
          <w:szCs w:val="34"/>
          <w:rtl/>
        </w:rPr>
        <w:t>، ومثل أن يكون م</w:t>
      </w:r>
      <w:r w:rsidR="004C028E" w:rsidRPr="00BE78C0">
        <w:rPr>
          <w:rFonts w:cs="Traditional Arabic" w:hint="cs"/>
          <w:sz w:val="34"/>
          <w:szCs w:val="34"/>
          <w:rtl/>
        </w:rPr>
        <w:t>ُ</w:t>
      </w:r>
      <w:r w:rsidRPr="00BE78C0">
        <w:rPr>
          <w:rFonts w:cs="Traditional Arabic"/>
          <w:sz w:val="34"/>
          <w:szCs w:val="34"/>
          <w:rtl/>
        </w:rPr>
        <w:t xml:space="preserve">باح الدَّم ممَّن لا </w:t>
      </w:r>
      <w:r w:rsidR="004C028E" w:rsidRPr="00BE78C0">
        <w:rPr>
          <w:rFonts w:cs="Traditional Arabic" w:hint="cs"/>
          <w:sz w:val="34"/>
          <w:szCs w:val="34"/>
          <w:rtl/>
        </w:rPr>
        <w:t>ع</w:t>
      </w:r>
      <w:r w:rsidRPr="00BE78C0">
        <w:rPr>
          <w:rFonts w:cs="Traditional Arabic"/>
          <w:sz w:val="34"/>
          <w:szCs w:val="34"/>
          <w:rtl/>
        </w:rPr>
        <w:t>هدَ له ولا إيمانٌ كالحربي ونحوه، ففي مثل هذه الأحوال لا كفَّارة في ذلك.</w:t>
      </w:r>
    </w:p>
    <w:p w:rsidR="00A05229" w:rsidRPr="00BE78C0" w:rsidRDefault="00A05229" w:rsidP="00566235">
      <w:pPr>
        <w:spacing w:before="120" w:after="0" w:line="240" w:lineRule="auto"/>
        <w:ind w:firstLine="720"/>
        <w:jc w:val="both"/>
        <w:rPr>
          <w:rFonts w:cs="Traditional Arabic"/>
          <w:sz w:val="34"/>
          <w:szCs w:val="34"/>
          <w:rtl/>
        </w:rPr>
      </w:pPr>
      <w:r w:rsidRPr="00BE78C0">
        <w:rPr>
          <w:rFonts w:cs="Traditional Arabic"/>
          <w:sz w:val="34"/>
          <w:szCs w:val="34"/>
          <w:rtl/>
        </w:rPr>
        <w:t>أمَّا لو قتل الإنسان م</w:t>
      </w:r>
      <w:r w:rsidR="004C028E" w:rsidRPr="00BE78C0">
        <w:rPr>
          <w:rFonts w:cs="Traditional Arabic" w:hint="cs"/>
          <w:sz w:val="34"/>
          <w:szCs w:val="34"/>
          <w:rtl/>
        </w:rPr>
        <w:t>ُ</w:t>
      </w:r>
      <w:r w:rsidRPr="00BE78C0">
        <w:rPr>
          <w:rFonts w:cs="Traditional Arabic"/>
          <w:sz w:val="34"/>
          <w:szCs w:val="34"/>
          <w:rtl/>
        </w:rPr>
        <w:t>ؤمنًا أو ذمِّيًا أو م</w:t>
      </w:r>
      <w:r w:rsidR="004C028E" w:rsidRPr="00BE78C0">
        <w:rPr>
          <w:rFonts w:cs="Traditional Arabic" w:hint="cs"/>
          <w:sz w:val="34"/>
          <w:szCs w:val="34"/>
          <w:rtl/>
        </w:rPr>
        <w:t>ُ</w:t>
      </w:r>
      <w:r w:rsidRPr="00BE78C0">
        <w:rPr>
          <w:rFonts w:cs="Traditional Arabic"/>
          <w:sz w:val="34"/>
          <w:szCs w:val="34"/>
          <w:rtl/>
        </w:rPr>
        <w:t>عاهَدًا ممَّن لا يجوز للإنسان قتله؛ فعليه في ذلك كفَّارةٌ، ولذلك قيَّدها المؤلف بقوله</w:t>
      </w:r>
      <w:r w:rsidR="004C028E" w:rsidRPr="00BE78C0">
        <w:rPr>
          <w:rFonts w:cs="Traditional Arabic" w:hint="cs"/>
          <w:sz w:val="34"/>
          <w:szCs w:val="34"/>
          <w:rtl/>
        </w:rPr>
        <w:t>:</w:t>
      </w:r>
      <w:r w:rsidRPr="00BE78C0">
        <w:rPr>
          <w:rFonts w:cs="Traditional Arabic"/>
          <w:sz w:val="34"/>
          <w:szCs w:val="34"/>
          <w:rtl/>
        </w:rPr>
        <w:t xml:space="preserve"> </w:t>
      </w:r>
      <w:r w:rsidRPr="00BE78C0">
        <w:rPr>
          <w:rFonts w:cs="Traditional Arabic"/>
          <w:color w:val="0000FF"/>
          <w:sz w:val="34"/>
          <w:szCs w:val="34"/>
          <w:rtl/>
        </w:rPr>
        <w:t>(بِغَيْرِ حَقٍّ)</w:t>
      </w:r>
      <w:r w:rsidRPr="00BE78C0">
        <w:rPr>
          <w:rFonts w:cs="Traditional Arabic"/>
          <w:sz w:val="34"/>
          <w:szCs w:val="34"/>
          <w:rtl/>
        </w:rPr>
        <w:t>، وهذا كافٍ عن كل المسائل، ولكن ذكرناها على سبيل التوضيح والتبيين.</w:t>
      </w:r>
    </w:p>
    <w:p w:rsidR="00A05229" w:rsidRPr="00BE78C0" w:rsidRDefault="00A05229" w:rsidP="00566235">
      <w:pPr>
        <w:spacing w:before="120" w:after="0" w:line="240" w:lineRule="auto"/>
        <w:ind w:firstLine="720"/>
        <w:jc w:val="both"/>
        <w:rPr>
          <w:rFonts w:cs="Traditional Arabic"/>
          <w:sz w:val="34"/>
          <w:szCs w:val="34"/>
          <w:rtl/>
        </w:rPr>
      </w:pPr>
      <w:r w:rsidRPr="00BE78C0">
        <w:rPr>
          <w:rFonts w:cs="Traditional Arabic"/>
          <w:sz w:val="34"/>
          <w:szCs w:val="34"/>
          <w:rtl/>
        </w:rPr>
        <w:lastRenderedPageBreak/>
        <w:t xml:space="preserve">قال المؤلف -رَحِمَهُ اللهُ تَعَالَى: </w:t>
      </w:r>
      <w:r w:rsidR="00AF11FE" w:rsidRPr="00BE78C0">
        <w:rPr>
          <w:rFonts w:cs="Traditional Arabic"/>
          <w:color w:val="0000FF"/>
          <w:sz w:val="34"/>
          <w:szCs w:val="34"/>
          <w:rtl/>
        </w:rPr>
        <w:t>(</w:t>
      </w:r>
      <w:r w:rsidRPr="00BE78C0">
        <w:rPr>
          <w:rFonts w:cs="Traditional Arabic"/>
          <w:color w:val="0000FF"/>
          <w:sz w:val="34"/>
          <w:szCs w:val="34"/>
          <w:rtl/>
        </w:rPr>
        <w:t>أَوْ شَارَكَ فِيْهِ)</w:t>
      </w:r>
      <w:r w:rsidRPr="00BE78C0">
        <w:rPr>
          <w:rFonts w:cs="Traditional Arabic"/>
          <w:sz w:val="34"/>
          <w:szCs w:val="34"/>
          <w:rtl/>
        </w:rPr>
        <w:t>، يعني</w:t>
      </w:r>
      <w:r w:rsidR="00CE728F" w:rsidRPr="00BE78C0">
        <w:rPr>
          <w:rFonts w:cs="Traditional Arabic" w:hint="cs"/>
          <w:sz w:val="34"/>
          <w:szCs w:val="34"/>
          <w:rtl/>
        </w:rPr>
        <w:t>:</w:t>
      </w:r>
      <w:r w:rsidRPr="00BE78C0">
        <w:rPr>
          <w:rFonts w:cs="Traditional Arabic"/>
          <w:sz w:val="34"/>
          <w:szCs w:val="34"/>
          <w:rtl/>
        </w:rPr>
        <w:t xml:space="preserve"> مَن قتلَ أو شاركَ في قتلٍ فعليه كفَّارة.</w:t>
      </w:r>
    </w:p>
    <w:p w:rsidR="00A05229" w:rsidRPr="00BE78C0" w:rsidRDefault="00A05229" w:rsidP="00CE728F">
      <w:pPr>
        <w:spacing w:before="120" w:after="0" w:line="240" w:lineRule="auto"/>
        <w:ind w:firstLine="720"/>
        <w:jc w:val="both"/>
        <w:rPr>
          <w:rFonts w:cs="Traditional Arabic"/>
          <w:sz w:val="34"/>
          <w:szCs w:val="34"/>
          <w:rtl/>
        </w:rPr>
      </w:pPr>
      <w:r w:rsidRPr="00BE78C0">
        <w:rPr>
          <w:rFonts w:cs="Traditional Arabic"/>
          <w:sz w:val="34"/>
          <w:szCs w:val="34"/>
          <w:rtl/>
        </w:rPr>
        <w:t>وهذا فيه إشارةٌ إلى مسألة م</w:t>
      </w:r>
      <w:r w:rsidR="00CE728F" w:rsidRPr="00BE78C0">
        <w:rPr>
          <w:rFonts w:cs="Traditional Arabic" w:hint="cs"/>
          <w:sz w:val="34"/>
          <w:szCs w:val="34"/>
          <w:rtl/>
        </w:rPr>
        <w:t>ُ</w:t>
      </w:r>
      <w:r w:rsidRPr="00BE78C0">
        <w:rPr>
          <w:rFonts w:cs="Traditional Arabic"/>
          <w:sz w:val="34"/>
          <w:szCs w:val="34"/>
          <w:rtl/>
        </w:rPr>
        <w:t>همَّة، فقد تقدَّم معنا في الديات أنَّه إذا اشترك اثنان في جناية فعليهما الدية كلٌّ بقدره، هذا يتحمل النصف وهذا النصف، أو هذا يتحمل الثلث وهذا الثلث وهذا الثلث، ونحو ذلك؛ لكن الكفَّارة -كما يقول الفقهاء- لا تتبعَّض، وبناء عليه إذا اشتركَ اثنان في قتلِ شخصٍ فعليهما ديةٌ واحدة، وعلى كل واحدٍ منهما كفَّارةٌ كاملة، لِمَا ذكرنا من أنَّ الكفارة لا تتبعَّض ولا تتجزَّأ</w:t>
      </w:r>
      <w:r w:rsidR="00CE728F" w:rsidRPr="00BE78C0">
        <w:rPr>
          <w:rFonts w:cs="Traditional Arabic" w:hint="cs"/>
          <w:sz w:val="34"/>
          <w:szCs w:val="34"/>
          <w:rtl/>
        </w:rPr>
        <w:t>؛</w:t>
      </w:r>
      <w:r w:rsidR="00CE728F" w:rsidRPr="00BE78C0">
        <w:rPr>
          <w:rFonts w:cs="Traditional Arabic"/>
          <w:sz w:val="34"/>
          <w:szCs w:val="34"/>
          <w:rtl/>
        </w:rPr>
        <w:t xml:space="preserve"> لأنَّ الدية حقٌّ </w:t>
      </w:r>
      <w:r w:rsidRPr="00BE78C0">
        <w:rPr>
          <w:rFonts w:cs="Traditional Arabic"/>
          <w:sz w:val="34"/>
          <w:szCs w:val="34"/>
          <w:rtl/>
        </w:rPr>
        <w:t>لورثة المقتول، فتعلَّقت به قدر ديته، أمَّا الكفارة فهي م</w:t>
      </w:r>
      <w:r w:rsidR="00CE728F" w:rsidRPr="00BE78C0">
        <w:rPr>
          <w:rFonts w:cs="Traditional Arabic" w:hint="cs"/>
          <w:sz w:val="34"/>
          <w:szCs w:val="34"/>
          <w:rtl/>
        </w:rPr>
        <w:t>ُ</w:t>
      </w:r>
      <w:r w:rsidRPr="00BE78C0">
        <w:rPr>
          <w:rFonts w:cs="Traditional Arabic"/>
          <w:sz w:val="34"/>
          <w:szCs w:val="34"/>
          <w:rtl/>
        </w:rPr>
        <w:t>تعلقةٌ بالفاعل، وكل واحدٍ منهما جرى منه ف</w:t>
      </w:r>
      <w:r w:rsidR="00CE728F" w:rsidRPr="00BE78C0">
        <w:rPr>
          <w:rFonts w:cs="Traditional Arabic" w:hint="cs"/>
          <w:sz w:val="34"/>
          <w:szCs w:val="34"/>
          <w:rtl/>
        </w:rPr>
        <w:t>ِ</w:t>
      </w:r>
      <w:r w:rsidRPr="00BE78C0">
        <w:rPr>
          <w:rFonts w:cs="Traditional Arabic"/>
          <w:sz w:val="34"/>
          <w:szCs w:val="34"/>
          <w:rtl/>
        </w:rPr>
        <w:t>عل القتل، فتعلَّقَ به ح</w:t>
      </w:r>
      <w:r w:rsidR="00CE728F" w:rsidRPr="00BE78C0">
        <w:rPr>
          <w:rFonts w:cs="Traditional Arabic" w:hint="cs"/>
          <w:sz w:val="34"/>
          <w:szCs w:val="34"/>
          <w:rtl/>
        </w:rPr>
        <w:t>ُ</w:t>
      </w:r>
      <w:r w:rsidRPr="00BE78C0">
        <w:rPr>
          <w:rFonts w:cs="Traditional Arabic"/>
          <w:sz w:val="34"/>
          <w:szCs w:val="34"/>
          <w:rtl/>
        </w:rPr>
        <w:t>كم التَّكفير م</w:t>
      </w:r>
      <w:r w:rsidR="00CE728F" w:rsidRPr="00BE78C0">
        <w:rPr>
          <w:rFonts w:cs="Traditional Arabic" w:hint="cs"/>
          <w:sz w:val="34"/>
          <w:szCs w:val="34"/>
          <w:rtl/>
        </w:rPr>
        <w:t>ُ</w:t>
      </w:r>
      <w:r w:rsidRPr="00BE78C0">
        <w:rPr>
          <w:rFonts w:cs="Traditional Arabic"/>
          <w:sz w:val="34"/>
          <w:szCs w:val="34"/>
          <w:rtl/>
        </w:rPr>
        <w:t xml:space="preserve">نفردًا عن صاحبه، فلأجل ذلك قال المؤلف -رَحِمَهُ اللهُ تَعَالَى: </w:t>
      </w:r>
      <w:r w:rsidRPr="00BE78C0">
        <w:rPr>
          <w:rFonts w:cs="Traditional Arabic"/>
          <w:color w:val="0000FF"/>
          <w:sz w:val="34"/>
          <w:szCs w:val="34"/>
          <w:rtl/>
        </w:rPr>
        <w:t>(وَمَنْ قَتَلَ مُؤْمِنًا أَوْ ذِمِّيًّا بِغَيْرِ حَقٍّ، أَوْ شَارَكَ فِيْهِ)</w:t>
      </w:r>
      <w:r w:rsidRPr="00BE78C0">
        <w:rPr>
          <w:rFonts w:cs="Traditional Arabic"/>
          <w:sz w:val="34"/>
          <w:szCs w:val="34"/>
          <w:rtl/>
        </w:rPr>
        <w:t>.</w:t>
      </w:r>
    </w:p>
    <w:p w:rsidR="00A05229" w:rsidRPr="00BE78C0" w:rsidRDefault="00A05229" w:rsidP="00566235">
      <w:pPr>
        <w:spacing w:before="120" w:after="0" w:line="240" w:lineRule="auto"/>
        <w:ind w:firstLine="720"/>
        <w:jc w:val="both"/>
        <w:rPr>
          <w:rFonts w:cs="Traditional Arabic"/>
          <w:sz w:val="34"/>
          <w:szCs w:val="34"/>
          <w:rtl/>
        </w:rPr>
      </w:pPr>
      <w:r w:rsidRPr="00BE78C0">
        <w:rPr>
          <w:rFonts w:cs="Traditional Arabic"/>
          <w:sz w:val="34"/>
          <w:szCs w:val="34"/>
          <w:rtl/>
        </w:rPr>
        <w:t xml:space="preserve">ولو أنَّ عشرين رجلًا اشتركوا في قتل واحدٍ لوجبت عليهم ديةٌ واحدة، </w:t>
      </w:r>
      <w:r w:rsidR="00CE728F" w:rsidRPr="00BE78C0">
        <w:rPr>
          <w:rFonts w:cs="Traditional Arabic" w:hint="cs"/>
          <w:sz w:val="34"/>
          <w:szCs w:val="34"/>
          <w:rtl/>
        </w:rPr>
        <w:t>و</w:t>
      </w:r>
      <w:r w:rsidRPr="00BE78C0">
        <w:rPr>
          <w:rFonts w:cs="Traditional Arabic"/>
          <w:sz w:val="34"/>
          <w:szCs w:val="34"/>
          <w:rtl/>
        </w:rPr>
        <w:t>وجبت عليهم عشرين كفَّارة، وهكذا...، ولا يُمكن أن يُقال إنَّ على كل واحد منهم كفارة بقدر الواجب عليه في الدية؛ بل على كل واحدٍ منهم كفارة.</w:t>
      </w:r>
    </w:p>
    <w:p w:rsidR="00A05229" w:rsidRPr="00AF11FE" w:rsidRDefault="00A05229" w:rsidP="00566235">
      <w:pPr>
        <w:spacing w:before="120" w:after="0" w:line="240" w:lineRule="auto"/>
        <w:ind w:firstLine="720"/>
        <w:jc w:val="both"/>
        <w:rPr>
          <w:rFonts w:cs="Traditional Arabic"/>
          <w:sz w:val="34"/>
          <w:szCs w:val="34"/>
          <w:rtl/>
        </w:rPr>
      </w:pPr>
      <w:r w:rsidRPr="00AF11FE">
        <w:rPr>
          <w:rFonts w:cs="Traditional Arabic"/>
          <w:sz w:val="34"/>
          <w:szCs w:val="34"/>
          <w:rtl/>
        </w:rPr>
        <w:t xml:space="preserve">قوله -رَحِمَهُ اللهُ تَعَالَى: </w:t>
      </w:r>
      <w:r w:rsidRPr="00483EBE">
        <w:rPr>
          <w:rFonts w:cs="Traditional Arabic"/>
          <w:color w:val="0000FF"/>
          <w:sz w:val="34"/>
          <w:szCs w:val="34"/>
          <w:rtl/>
        </w:rPr>
        <w:t>(أَوْ فِيْ إِسْقَاطِ جَنِيْنٍ)</w:t>
      </w:r>
      <w:r w:rsidRPr="00AF11FE">
        <w:rPr>
          <w:rFonts w:cs="Traditional Arabic"/>
          <w:sz w:val="34"/>
          <w:szCs w:val="34"/>
          <w:rtl/>
        </w:rPr>
        <w:t>، أراد أن يُبينَ أنَّ قتل النفس الحيَّة يُلحق به قتل الجنين، وإن كان الجنين أقل شأنًا، لكنه لا يخرج عن كونه إتلاف نفس، فهو قتلٌ وإزهاق روح، فالجنين قد نُفِخَت فيه الرُّوح، واستحقَّت الكفارة كقتل المؤمن المعصوم سواء بسواء.</w:t>
      </w:r>
    </w:p>
    <w:p w:rsidR="00A05229" w:rsidRPr="00AF11FE" w:rsidRDefault="00A05229" w:rsidP="00566235">
      <w:pPr>
        <w:spacing w:before="120" w:after="0" w:line="240" w:lineRule="auto"/>
        <w:ind w:firstLine="720"/>
        <w:jc w:val="both"/>
        <w:rPr>
          <w:rFonts w:cs="Traditional Arabic"/>
          <w:sz w:val="34"/>
          <w:szCs w:val="34"/>
          <w:rtl/>
        </w:rPr>
      </w:pPr>
      <w:r w:rsidRPr="00AF11FE">
        <w:rPr>
          <w:rFonts w:cs="Traditional Arabic"/>
          <w:sz w:val="34"/>
          <w:szCs w:val="34"/>
          <w:rtl/>
        </w:rPr>
        <w:t>نأتي بعد ذلك إلى خصال الكفارة، ولعلها -بإذن الله جلَّ وعلا- أن تكون في ابتداء الحلقة القادمة، أسأل الله لي ولكم التوفيق والسداد،</w:t>
      </w:r>
      <w:r w:rsidR="00AF11FE">
        <w:rPr>
          <w:rFonts w:cs="Traditional Arabic"/>
          <w:sz w:val="34"/>
          <w:szCs w:val="34"/>
          <w:rtl/>
        </w:rPr>
        <w:t xml:space="preserve"> </w:t>
      </w:r>
      <w:r w:rsidRPr="00AF11FE">
        <w:rPr>
          <w:rFonts w:cs="Traditional Arabic"/>
          <w:sz w:val="34"/>
          <w:szCs w:val="34"/>
          <w:rtl/>
        </w:rPr>
        <w:t>وأسأل الله أن يجزيكم خير الجزاء، وأن يجعل هذا البناء بناءً صالحًا خالصًا متَّسقًا، بناءً قائمًا ثابتًا يتجدَّد ما تجدَّدَ الليل والنَّهار، يُفيضُ على الناس من الخير، ويتلقون منه العلم، ويفيدون منه إلى الهدى والبر والتَّقوى، وأسأل الله لي ولكم وللجميع التوفيق والسَّداد، والله تعالى أعلم، وصلى الله وسلم على نبينا محمد.</w:t>
      </w:r>
    </w:p>
    <w:p w:rsidR="00A05229" w:rsidRPr="00AF11FE" w:rsidRDefault="00A05229" w:rsidP="00566235">
      <w:pPr>
        <w:spacing w:before="120" w:after="0" w:line="240" w:lineRule="auto"/>
        <w:ind w:firstLine="720"/>
        <w:jc w:val="both"/>
        <w:rPr>
          <w:rFonts w:cs="Traditional Arabic"/>
          <w:sz w:val="34"/>
          <w:szCs w:val="34"/>
          <w:rtl/>
        </w:rPr>
      </w:pPr>
      <w:r w:rsidRPr="00AF11FE">
        <w:rPr>
          <w:rFonts w:cs="Traditional Arabic"/>
          <w:sz w:val="34"/>
          <w:szCs w:val="34"/>
          <w:rtl/>
        </w:rPr>
        <w:t>{شكرَ الله لكم فضيلة الشيخ على ما تقدمونه، أسأل الله أن يجعل ذلك في موازين حسناتكم.</w:t>
      </w:r>
    </w:p>
    <w:p w:rsidR="003973D0" w:rsidRPr="00AF11FE" w:rsidRDefault="00A05229" w:rsidP="00566235">
      <w:pPr>
        <w:spacing w:before="120" w:after="0" w:line="240" w:lineRule="auto"/>
        <w:ind w:firstLine="720"/>
        <w:jc w:val="both"/>
        <w:rPr>
          <w:rFonts w:cs="Traditional Arabic"/>
          <w:sz w:val="34"/>
          <w:szCs w:val="34"/>
        </w:rPr>
      </w:pPr>
      <w:r w:rsidRPr="00AF11FE">
        <w:rPr>
          <w:rFonts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sectPr w:rsidR="003973D0" w:rsidRPr="00AF11FE" w:rsidSect="00E53BCE">
      <w:footerReference w:type="default" r:id="rId7"/>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884" w:rsidRDefault="002C6884" w:rsidP="00BA1306">
      <w:pPr>
        <w:spacing w:after="0" w:line="240" w:lineRule="auto"/>
      </w:pPr>
      <w:r>
        <w:separator/>
      </w:r>
    </w:p>
  </w:endnote>
  <w:endnote w:type="continuationSeparator" w:id="0">
    <w:p w:rsidR="002C6884" w:rsidRDefault="002C6884" w:rsidP="00BA1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78751944"/>
      <w:docPartObj>
        <w:docPartGallery w:val="Page Numbers (Bottom of Page)"/>
        <w:docPartUnique/>
      </w:docPartObj>
    </w:sdtPr>
    <w:sdtEndPr>
      <w:rPr>
        <w:noProof/>
      </w:rPr>
    </w:sdtEndPr>
    <w:sdtContent>
      <w:p w:rsidR="00BA1306" w:rsidRDefault="00BA1306">
        <w:pPr>
          <w:pStyle w:val="Footer"/>
          <w:jc w:val="center"/>
        </w:pPr>
        <w:r>
          <w:fldChar w:fldCharType="begin"/>
        </w:r>
        <w:r>
          <w:instrText xml:space="preserve"> PAGE   \* MERGEFORMAT </w:instrText>
        </w:r>
        <w:r>
          <w:fldChar w:fldCharType="separate"/>
        </w:r>
        <w:r w:rsidR="00BE78C0">
          <w:rPr>
            <w:noProof/>
            <w:rtl/>
          </w:rPr>
          <w:t>4</w:t>
        </w:r>
        <w:r>
          <w:rPr>
            <w:noProof/>
          </w:rPr>
          <w:fldChar w:fldCharType="end"/>
        </w:r>
      </w:p>
    </w:sdtContent>
  </w:sdt>
  <w:p w:rsidR="00BA1306" w:rsidRDefault="00BA1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884" w:rsidRDefault="002C6884" w:rsidP="00BA1306">
      <w:pPr>
        <w:spacing w:after="0" w:line="240" w:lineRule="auto"/>
      </w:pPr>
      <w:r>
        <w:separator/>
      </w:r>
    </w:p>
  </w:footnote>
  <w:footnote w:type="continuationSeparator" w:id="0">
    <w:p w:rsidR="002C6884" w:rsidRDefault="002C6884" w:rsidP="00BA13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F4BA5"/>
    <w:multiLevelType w:val="hybridMultilevel"/>
    <w:tmpl w:val="83BAD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229"/>
    <w:rsid w:val="00063CBD"/>
    <w:rsid w:val="001F7923"/>
    <w:rsid w:val="002C6884"/>
    <w:rsid w:val="00353444"/>
    <w:rsid w:val="003858C9"/>
    <w:rsid w:val="003D4595"/>
    <w:rsid w:val="00475A80"/>
    <w:rsid w:val="00483EBE"/>
    <w:rsid w:val="004C028E"/>
    <w:rsid w:val="00566235"/>
    <w:rsid w:val="008D7EB5"/>
    <w:rsid w:val="00A05229"/>
    <w:rsid w:val="00AF11FE"/>
    <w:rsid w:val="00BA1306"/>
    <w:rsid w:val="00BA29B5"/>
    <w:rsid w:val="00BE78C0"/>
    <w:rsid w:val="00CE728F"/>
    <w:rsid w:val="00D85B6E"/>
    <w:rsid w:val="00DB390B"/>
    <w:rsid w:val="00E40CFF"/>
    <w:rsid w:val="00E53BCE"/>
    <w:rsid w:val="00FC3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B32338-A654-47BD-B5B4-FACC4B4A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923"/>
    <w:pPr>
      <w:ind w:left="720"/>
      <w:contextualSpacing/>
    </w:pPr>
  </w:style>
  <w:style w:type="paragraph" w:styleId="Header">
    <w:name w:val="header"/>
    <w:basedOn w:val="Normal"/>
    <w:link w:val="HeaderChar"/>
    <w:uiPriority w:val="99"/>
    <w:unhideWhenUsed/>
    <w:rsid w:val="00BA130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1306"/>
  </w:style>
  <w:style w:type="paragraph" w:styleId="Footer">
    <w:name w:val="footer"/>
    <w:basedOn w:val="Normal"/>
    <w:link w:val="FooterChar"/>
    <w:uiPriority w:val="99"/>
    <w:unhideWhenUsed/>
    <w:rsid w:val="00BA130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1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2283</Words>
  <Characters>13016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MaZoNa</dc:creator>
  <cp:lastModifiedBy>Omar</cp:lastModifiedBy>
  <cp:revision>8</cp:revision>
  <dcterms:created xsi:type="dcterms:W3CDTF">2019-12-15T16:16:00Z</dcterms:created>
  <dcterms:modified xsi:type="dcterms:W3CDTF">2019-12-15T19:57:00Z</dcterms:modified>
</cp:coreProperties>
</file>