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66D8" w14:textId="0054AA72" w:rsidR="00925748" w:rsidRPr="00A97A9D" w:rsidRDefault="00925748" w:rsidP="00A2437A">
      <w:pPr>
        <w:spacing w:before="120" w:after="0" w:line="240" w:lineRule="auto"/>
        <w:ind w:firstLine="397"/>
        <w:contextualSpacing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آ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َ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داب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ُ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 ال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ْ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َ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شي إ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ِ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ل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َ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ى الص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َّ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لاة</w:t>
      </w:r>
      <w:r w:rsidR="00367D39"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ِ</w:t>
      </w:r>
      <w:r w:rsidRPr="00A97A9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 (4)</w:t>
      </w:r>
    </w:p>
    <w:p w14:paraId="57CF3D8B" w14:textId="19A9408E" w:rsidR="00925748" w:rsidRPr="00A97A9D" w:rsidRDefault="00925748" w:rsidP="00A2437A">
      <w:pPr>
        <w:spacing w:before="120" w:after="0" w:line="240" w:lineRule="auto"/>
        <w:ind w:firstLine="397"/>
        <w:contextualSpacing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</w:pP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الد</w:t>
      </w:r>
      <w:r w:rsidR="00367D39"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َّ</w:t>
      </w: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رس</w:t>
      </w:r>
      <w:r w:rsidR="00367D39"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 xml:space="preserve"> ال</w:t>
      </w:r>
      <w:r w:rsidR="00367D39"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ْ</w:t>
      </w: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خ</w:t>
      </w:r>
      <w:r w:rsidR="00367D39"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َ</w:t>
      </w: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ام</w:t>
      </w:r>
      <w:r w:rsidR="00367D39"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ِ</w:t>
      </w: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س</w:t>
      </w:r>
      <w:r w:rsidR="00367D39"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Pr="00A97A9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 xml:space="preserve"> (5)</w:t>
      </w:r>
    </w:p>
    <w:p w14:paraId="4478D0F7" w14:textId="02F77F5A" w:rsidR="00925748" w:rsidRPr="00A97A9D" w:rsidRDefault="00925748" w:rsidP="00A2437A">
      <w:pPr>
        <w:spacing w:before="120" w:after="0" w:line="240" w:lineRule="auto"/>
        <w:ind w:firstLine="397"/>
        <w:contextualSpacing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A97A9D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 xml:space="preserve">سماحة الشيخ/ صالح </w:t>
      </w:r>
      <w:r w:rsidR="00A2437A" w:rsidRPr="00A97A9D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 xml:space="preserve">بن فوزان </w:t>
      </w:r>
      <w:r w:rsidRPr="00A97A9D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الفوزان</w:t>
      </w:r>
    </w:p>
    <w:p w14:paraId="69F57AE8" w14:textId="77777777" w:rsidR="00925748" w:rsidRPr="00A97A9D" w:rsidRDefault="00925748" w:rsidP="00A2437A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0978F4B2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بسم الله الرحمن الرحيم، الحمد لله رَبِّ العَالمين والصَّلاة والسَّلاة على قائدِ الغُرِّ المْحجلين نبينا محمدٍ وعلى آله وأصحابه أجمعين.</w:t>
      </w:r>
    </w:p>
    <w:p w14:paraId="004FFF0D" w14:textId="77604B99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مرحبا بكم أيُّها الإخوة والأخوات في درسٍ جديدٍ من دروسِ كتابِ </w:t>
      </w:r>
      <w:r w:rsidRPr="00A97A9D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آداب المشي إلى الصلاة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، ضيف هذا الد</w:t>
      </w:r>
      <w:r w:rsidR="00367D39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رس هو سماحة العلامة/ صالح بن فوزان الفوزان</w:t>
      </w:r>
      <w:r w:rsidR="00367D39" w:rsidRPr="00A97A9D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عضو هيئة كبار العلماء وعضو اللجنة الدائمة للإفتاء، والذي يشرح هذا المتن من هذا الكتاب المبارك، والذي انتفع به جمعٌ من المسلمين. أهلا ومرحبًا بالشَّيخ صالح في هذا اللقاء}.</w:t>
      </w:r>
    </w:p>
    <w:p w14:paraId="17F8338C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حيَّاكم الله وبارك فيكم.</w:t>
      </w:r>
    </w:p>
    <w:p w14:paraId="27DE4094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{من الأسئلة التي وردت في الباب السَّابق، يقول السائل: نذهب إلى القصيم أنا وأولادي، ونصلِّي أنا وأولادي الصِّغار وبناتي خلفي؛ فهل في هذا شيء؟}.</w:t>
      </w:r>
    </w:p>
    <w:p w14:paraId="146030E3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بسم الله الرحمن الرحيم، الحمد لله رب العالمين، والصلاة والسلام على نبيِّنا محمدٍ وعلى آلهِ وأصحابه أجمعين.</w:t>
      </w:r>
    </w:p>
    <w:p w14:paraId="49402638" w14:textId="7EC989A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ما ذكره السَّائل هو السُّنَّة؛ أن تكون النِّساء خلف الرِّجال في الصَّلاة، ويكون الرِّجال الذكور ممَّا يلي الإمام.</w:t>
      </w:r>
    </w:p>
    <w:p w14:paraId="3D06FD33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{يقول السَّائل: نصِل إلى القصيم، ولكننا نسكن في مسكن، ونقصر ونجمع خلال الأربعة أيام، فما الضَّابط في ذلك؟}.</w:t>
      </w:r>
    </w:p>
    <w:p w14:paraId="502C529C" w14:textId="3C3AFB5A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الضَّابط في ذلك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: إذا كانوا قد أقاموا أثناء السَّفر في غير بلدهم إقامةً لا تزيد عن أربعة أيام، فينون إقامة أربعة أيام فأكثر فإنهم لا يقصرون الصلاة ولا يجمعون، وإنما يصلُّونَ صلاةَ م</w:t>
      </w:r>
      <w:r w:rsidR="00331914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قيمٍ، كلَّ صلاةٍ في وقتها تمامًا من غير قصر.</w:t>
      </w:r>
    </w:p>
    <w:p w14:paraId="4F6A16A5" w14:textId="3DC980F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{هل ورد حديث أنَّ الرَّسول -صَلَّى اللهُ عَلَيْهِ وَسَلَّمَ- جمعَ من غير ع</w:t>
      </w:r>
      <w:r w:rsidR="00331914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ذرٍ ولا سفرٍ}.</w:t>
      </w:r>
    </w:p>
    <w:p w14:paraId="33F387F7" w14:textId="28144F1D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نعم ورد هذا، وهو حديث مجمَل يُحال إلى الأحاديث التي تفصِّلَه، وهو أنَّه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(جمعَ من غير خوفٍ ولا مرضٍ)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، وفي رواية: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(ولا سفرٍ)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؛ فيُحمَ</w:t>
      </w:r>
      <w:r w:rsidR="00331914" w:rsidRPr="00A97A9D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هذا على الجمع من أجل المطرِ بينَ المغرب والعشاء.</w:t>
      </w:r>
    </w:p>
    <w:p w14:paraId="20B3E846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المؤلف -رَحَمَهُ اللهُ تَعَالَى: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(وَإِنْ أَمَّ رَجُلاً وَامْرَأَةً، وَقَفَ الرَّجُلُ عَنْ يَمِينِهِ وَالمَرْأَةُ خَلْفَهُ)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0E27B3B" w14:textId="50925B3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هذه هي السُّنَّة وهذا هو الهدي النَّبوي؛ وهو أن يكون الرِّجال ممَّا يلي الإمام، والنِّساء تقوم خلفهم، كما قال أنس -رَضِيَ اللهُ عَنْهُ: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(صلَّى بنَا رسول الله -صَلَّى اللهُ عَلَيْهِ وَسَلَّمَ- فقُمتُ أنا ويتيمٌ خلفَه، وأم سليمٍ خلفنا)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، وهي أمُّ أنسٍ -رَضِيَ اللهُ عَنْها.</w:t>
      </w:r>
    </w:p>
    <w:p w14:paraId="7B9E49F1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(لِحَدِيثِ أَنَسٍ. رَوَاهُ مُسْلِمٌ)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28795A5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وهو الحديث الذي ذكرته.</w:t>
      </w:r>
    </w:p>
    <w:p w14:paraId="26848E6B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(وَقُرْبُ الصَّفِّ مِنْهُ أَفْضَلُ)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658708C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أي: الأفضل أن يقُربُ الصَّفُّ من الإمامِ من أن يكون الصَّفُّ بعيدًا.</w:t>
      </w:r>
    </w:p>
    <w:p w14:paraId="49E274E3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(وَكَذَا قُرْبُ الصُّفُوفِ بَعْضُهَا مِنْ بَعْضٍ)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FAB13FD" w14:textId="19C239DB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هذا من السُّنَّة، وهو ألا يكون بينَ الصُّفوفِ مسافات؛ بل يكون الص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فَّ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يلي الصَّفَّ.</w:t>
      </w:r>
    </w:p>
    <w:p w14:paraId="312A9D7D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(وَكَذَا تَوَسُّطُ الصَّفِّ)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AE89050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كذا توسُّط الإمام الصَّف، بأن يوازي بينَ عن مَن يمينه وعن مَن شماله، فلا يكون أحد الجانبين أطول من الآخر، لقوله في الحديث: </w:t>
      </w:r>
      <w:r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«وَسِّطُوا الإِمَامَ»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، أي: اجعلوه في الوسَط.</w:t>
      </w:r>
    </w:p>
    <w:p w14:paraId="56F526FA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(لِقَوْلِهِ صَلَّى اللهُ عَلَيْهِ وَسَلَّمَ: </w:t>
      </w:r>
      <w:r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«وَسِّطُوا الإِمَامَ وَسُدُّوا الْخَلَلَ»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5E51D77" w14:textId="4C13C8EC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عرفنا معنى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«وَسِّطُوا الإِمَامَ»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11A80D24" w14:textId="0D77031C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وقوله: </w:t>
      </w:r>
      <w:r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«وَسُدُّوا الْخَلَلَ»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الفُرَج، فلا يكون في الصَّفِّ فُرَج يتخلل منها الشَّيطان، ويشوِّش على المصلِّين؛ بل يتراصُّونَ في الصُّفوف، فهذا أدعى للخشوعِ، وأبعد للشيطان على المصلين.</w:t>
      </w:r>
    </w:p>
    <w:p w14:paraId="770CC650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(وَتَصِحُّ مُصَافَّةُ صَبِيٍّ)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020D9A8" w14:textId="34C3FC43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الصَّبي المميِّز تصح صلاته، فيصحُّ أن يكونَ وارء الإمام رجلٌ كبيرٌ وصبيٌّ صغير مميِّز.</w:t>
      </w:r>
    </w:p>
    <w:p w14:paraId="474ADFC4" w14:textId="42A64F6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{نبغي توجيه</w:t>
      </w:r>
      <w:r w:rsidR="00D12B4C" w:rsidRPr="00A97A9D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لأولئك الذين يعجزون عن الذَّهابِ إلى المسجد، ويصل</w:t>
      </w:r>
      <w:r w:rsidR="00D12B4C" w:rsidRPr="00A97A9D">
        <w:rPr>
          <w:rFonts w:ascii="Traditional Arabic" w:hAnsi="Traditional Arabic" w:cs="Traditional Arabic" w:hint="cs"/>
          <w:sz w:val="34"/>
          <w:szCs w:val="34"/>
          <w:rtl/>
        </w:rPr>
        <w:t>ون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12B4C" w:rsidRPr="00A97A9D">
        <w:rPr>
          <w:rFonts w:ascii="Traditional Arabic" w:hAnsi="Traditional Arabic" w:cs="Traditional Arabic" w:hint="cs"/>
          <w:sz w:val="34"/>
          <w:szCs w:val="34"/>
          <w:rtl/>
        </w:rPr>
        <w:t xml:space="preserve">مع 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أولاده</w:t>
      </w:r>
      <w:r w:rsidR="00D12B4C" w:rsidRPr="00A97A9D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في البيت)}.</w:t>
      </w:r>
    </w:p>
    <w:p w14:paraId="1E7744F6" w14:textId="6727F598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هذا خلاف السُّنَّة، فإنَّ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ه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 xml:space="preserve">قد جاء 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في الحديث أنه لا يصلِّي في البيت إلا العَجَزَة والمرضى من الرِّجال، وأم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ا الصِّحاح القادرون عل الذِّهاب إلى المسجد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فإنَّه يجبُ عليهم ذلك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لقوله -صَلَّى اللهُ عَلَيْهِ وَسَلَّمَ: </w:t>
      </w:r>
      <w:r w:rsidR="00F11A55"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سَمِعَ النِّدَاءَ فَلَمْ يُجِبْ فَلاَ صَلاَةَ لَهُ إِلاَّ مِنْ عُذْرٍ»</w:t>
      </w:r>
      <w:r w:rsidR="00F11A55" w:rsidRPr="00A97A9D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 xml:space="preserve">، </w:t>
      </w:r>
      <w:r w:rsidR="00F11A55" w:rsidRPr="00A97A9D">
        <w:rPr>
          <w:rFonts w:ascii="Traditional Arabic" w:hAnsi="Traditional Arabic" w:cs="Traditional Arabic"/>
          <w:sz w:val="34"/>
          <w:szCs w:val="34"/>
          <w:rtl/>
        </w:rPr>
        <w:t xml:space="preserve">قيل: وما العذر؟ قال: </w:t>
      </w:r>
      <w:r w:rsidR="00F11A55"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«خَوْفٌ أَوْ مَرَضٌ»</w:t>
      </w:r>
      <w:r w:rsidR="00F11A55" w:rsidRPr="00A97A9D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1"/>
      </w:r>
      <w:r w:rsidRPr="00A97A9D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609D5447" w14:textId="01410015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فلا يجوز أن تُقام صلاة الجماعة في البيوت وتُترَك المساجد.</w:t>
      </w:r>
    </w:p>
    <w:p w14:paraId="0EB70981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(لِقَوْلِ أَنَسٍ: صَفَفْتُ أَنَا وَالْيَتِيمُ وَرَاءَهُ وَالْعَجُوزُ خَلْفَنَا)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EF447F2" w14:textId="312BD44D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قوله</w:t>
      </w:r>
      <w:r w:rsidR="00F11A55" w:rsidRPr="00A97A9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(وَالْيَتِيمُ)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، يدلُّ على أنَّه غير بالغٍ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لأنَّه </w:t>
      </w:r>
      <w:r w:rsidR="00F11A55"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D04015" w:rsidRPr="00A97A9D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يُتْمَ بَعْدَ احْتِلَامٍ»</w:t>
      </w:r>
      <w:r w:rsidR="00D04015" w:rsidRPr="00A97A9D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2"/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كما </w:t>
      </w:r>
      <w:r w:rsidR="00BE683B" w:rsidRPr="00A97A9D">
        <w:rPr>
          <w:rFonts w:ascii="Traditional Arabic" w:hAnsi="Traditional Arabic" w:cs="Traditional Arabic" w:hint="cs"/>
          <w:sz w:val="34"/>
          <w:szCs w:val="34"/>
          <w:rtl/>
        </w:rPr>
        <w:t xml:space="preserve">جاء 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في الحديث، فلا يُطلق "</w:t>
      </w:r>
      <w:r w:rsidRPr="00A97A9D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اليتيم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" إلا على مَن هو دون البلوغ لمَن ليس له أب.</w:t>
      </w:r>
    </w:p>
    <w:p w14:paraId="1C78DD97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(وَإِنْ صَلَّى فَذًّا لَمْ تَصِحَّ)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3D9B90E" w14:textId="6C3C7B05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إن صلَّى خلف الإمام فذًا لم تصح صلاته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رأى رجلًا ي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صلي فذًّا خلف الصَّفِّ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فأمرَه أن يُعيدَ الصلاة.</w:t>
      </w:r>
    </w:p>
    <w:p w14:paraId="329D27B4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(وَإِنْ كَانَ المَأْمُومُ يَرَى الإِمَامَ أَوْ مَنْ وَرَاءَهُ صَحَّ)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5208E128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إذا كانت الصُّفوف متعدِّدَةٌ ويرونَ الإمامَ وليس بينه وبينهم حائل فإنَّه يصح الاقتداء بالإمام، وإن كان خارج المسجد فلابدَّ أن يرى الإمام أو يرى مَن وراء الإمام. 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(وَلَوْ لَمْ تَتَّصِلِ الصُّفُوفُ)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9B2A149" w14:textId="797C566D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ولو لم تتصل الصفوف؛ ولكن تكون قريبة بعضها من بعض، فإذا رأى الإمام أو رأى مَن خلفَه صحَّ له أن يقتدي بالإمام وي</w:t>
      </w:r>
      <w:r w:rsidR="00BE683B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صلي معه.</w:t>
      </w:r>
    </w:p>
    <w:p w14:paraId="14E23AA0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(وَكَذَا لَوْ لَمْ يَرَى أَحَدَهُمَا إِنْ سَمِعَ التَّكْبِيرَ)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5EFBC14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إذا لم يرَ الإمام ولا مَن خلفَه ولكن يسمع تكبير الإمام فإنه يُتابعه إذا سمع التَّكبير.</w:t>
      </w:r>
    </w:p>
    <w:p w14:paraId="190F2EB3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(وَيُكْرَهُ أَنْ يَكُونَ الإِمَامُ أَعْلَى مِنَ المَأْمُومِينَ)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767F3DEC" w14:textId="3A02D35D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يُكرَه أن يكون الإمام أعلى من المأمومين كر</w:t>
      </w:r>
      <w:r w:rsidR="00BE683B" w:rsidRPr="00A97A9D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هةَ تنزيهٍ، فتصحُّ الصَّلاة ولكن مع الكراهة، فلا يكون الإمام فوقهم وهذا إذا كان الإمام وحده، ولكن إذا كان الإمام مع مَن يُصلِّي خلفَه فلا بأسَ بذلك.</w:t>
      </w:r>
    </w:p>
    <w:p w14:paraId="0A779015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(قَالَ ابْنُ مَسْعُودٍ لِحُذَيْفَةَ: أَلَمْ تَعْلَمْ أَنَّهُمْ كَانُوا يُنَهَوْنَ عَنْ ذَلِكَ؟)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27DF2729" w14:textId="7B386BAA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ابن مسعود  -رَضِيَ اللهُ عَنْهُ- يقول لحذيفة -رَضِيَ اللهُ عَنْهُ: </w:t>
      </w:r>
      <w:r w:rsidR="00D04015" w:rsidRPr="00A97A9D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(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أَلَمْ تَعْلَمْ أَنَّهُمْ كَانُوا يُنَهَوْنَ عَنْ ذَلِكَ؟</w:t>
      </w:r>
      <w:r w:rsidR="00D04015" w:rsidRPr="00A97A9D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، أي: الاقتداء بالإمام ولا يراهُ المأموم ولا يرَى مَن خلفه.</w:t>
      </w:r>
    </w:p>
    <w:p w14:paraId="36EE05D8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(وَلاَ بَأْسَ بِعُلُوِ مَأْمُومٍ؛ لِأَنَّ أَبَا هُرَيْرَةَ صَلَّى عَلَى ظَهْرِ الْمَسْجِدِ بِصَلاَةِ الإِمَامِ. رَوَاهُ الشَّافِعِيُّ)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46300EA" w14:textId="2656BE1B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لا بأسَ إذا ارتفع المأموم في الصلاة ورأى الإمام، كأن يقتدي به وهو على ظهر سطحٍ 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و على م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رتفعٍ إذا كان معه مَن ي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صلي معه وي</w:t>
      </w:r>
      <w:r w:rsidR="009B229F" w:rsidRPr="00A97A9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صفُّ معه.</w:t>
      </w:r>
    </w:p>
    <w:p w14:paraId="4526FBDB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A97A9D">
        <w:rPr>
          <w:rFonts w:ascii="Traditional Arabic" w:hAnsi="Traditional Arabic" w:cs="Traditional Arabic"/>
          <w:color w:val="0000CC"/>
          <w:sz w:val="34"/>
          <w:szCs w:val="34"/>
          <w:rtl/>
        </w:rPr>
        <w:t>(وَيُكْرَهُ تَطَوُّعُ الإِمَامِ فِي مَوْضِعِ المَكْتُوبَةِ)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398DB27" w14:textId="62CEC4FA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lastRenderedPageBreak/>
        <w:t>يُكرَه تطوع الإمام لصلاة نافلة بعدَ السَّلام إذا كان في مكانه، ل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ئ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لا يظن أحدٌ أنَّ الصلاة لم تكمُل، فيتنحَّى الإمام عن مكانه ويُصلِّيَ النَّافلة التي بعدَ الفريضة.</w:t>
      </w:r>
    </w:p>
    <w:p w14:paraId="1A1C0B70" w14:textId="77777777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{ماذا لو صلَّى في مكانه؟}.</w:t>
      </w:r>
    </w:p>
    <w:p w14:paraId="40EF77DE" w14:textId="30F132FF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تصح الصلاة، ولكن يُكرَه فعله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لأنَّه يُخشَى أنَّ مَن يراه يظن أن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لاة لم تنتهِ.</w:t>
      </w:r>
    </w:p>
    <w:p w14:paraId="3DD6519F" w14:textId="04F99F6C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</w:t>
      </w:r>
      <w:r w:rsidR="00BE683B" w:rsidRPr="00A97A9D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 xml:space="preserve"> يقول </w:t>
      </w:r>
      <w:r w:rsidRPr="00A97A9D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بعض الناس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: عند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ا ت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صلي الس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نن الر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واتب أو تصلي ركعات في المسجد </w:t>
      </w:r>
      <w:r w:rsidR="00BE683B" w:rsidRPr="00A97A9D">
        <w:rPr>
          <w:rFonts w:ascii="Traditional Arabic" w:hAnsi="Traditional Arabic" w:cs="Traditional Arabic" w:hint="cs"/>
          <w:sz w:val="34"/>
          <w:szCs w:val="34"/>
          <w:rtl/>
        </w:rPr>
        <w:t>فا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لموضع يشهد للمصلي يوم القيامة. فهل هذا صحيح؟}.</w:t>
      </w:r>
    </w:p>
    <w:p w14:paraId="62060FA9" w14:textId="7765B272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لا شكَّ أنَّ المواضع تشهد بما فُعل عليها من خيرٍ أو شرٍّ؛ فالأرضُ تشهد لمَن عمل على ظهرها الخير، وتشهد عليه إذا عمل الشَّرَّ.</w:t>
      </w:r>
    </w:p>
    <w:p w14:paraId="1D93AA80" w14:textId="53A88B70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{شكر الله لكم يا شيخ صالح عل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تفضُّلكم بشرح هذا المتن من كتاب "</w:t>
      </w:r>
      <w:r w:rsidRPr="00A97A9D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آداب المشي إلى الصلاة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>".</w:t>
      </w:r>
    </w:p>
    <w:p w14:paraId="4500BDC0" w14:textId="03FA3383" w:rsidR="00461F28" w:rsidRPr="00A97A9D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وبقي جملة من الأسئل</w:t>
      </w:r>
      <w:r w:rsidR="00D04015" w:rsidRPr="00A97A9D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A97A9D">
        <w:rPr>
          <w:rFonts w:ascii="Traditional Arabic" w:hAnsi="Traditional Arabic" w:cs="Traditional Arabic"/>
          <w:sz w:val="34"/>
          <w:szCs w:val="34"/>
          <w:rtl/>
        </w:rPr>
        <w:t xml:space="preserve"> سنُرجئها -إن شاء الله- إلى الدرس القادم في هذا البرنامج.</w:t>
      </w:r>
    </w:p>
    <w:p w14:paraId="487C5301" w14:textId="77777777" w:rsidR="004C6BD8" w:rsidRPr="00461F28" w:rsidRDefault="00461F28" w:rsidP="0086677B">
      <w:pPr>
        <w:spacing w:before="120" w:after="0" w:line="240" w:lineRule="auto"/>
        <w:ind w:firstLine="397"/>
        <w:contextualSpacing/>
        <w:jc w:val="both"/>
        <w:rPr>
          <w:rFonts w:ascii="Traditional Arabic" w:hAnsi="Traditional Arabic" w:cs="Traditional Arabic"/>
          <w:sz w:val="34"/>
          <w:szCs w:val="34"/>
        </w:rPr>
      </w:pPr>
      <w:r w:rsidRPr="00A97A9D">
        <w:rPr>
          <w:rFonts w:ascii="Traditional Arabic" w:hAnsi="Traditional Arabic" w:cs="Traditional Arabic"/>
          <w:sz w:val="34"/>
          <w:szCs w:val="34"/>
          <w:rtl/>
        </w:rPr>
        <w:t>حتى ذلكم الحين أنقل لكم تحيَّات الزُّملاء الذين سجَّلوا هذا اللِّقاء من دروس آداب المشي إلى الصلاة. والسَّلام عليكم ورحمة الله وبركاته}.</w:t>
      </w:r>
      <w:bookmarkStart w:id="0" w:name="_GoBack"/>
      <w:bookmarkEnd w:id="0"/>
    </w:p>
    <w:sectPr w:rsidR="004C6BD8" w:rsidRPr="00461F28" w:rsidSect="00A2437A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DD27" w14:textId="77777777" w:rsidR="007123B6" w:rsidRDefault="007123B6" w:rsidP="00A2437A">
      <w:pPr>
        <w:spacing w:after="0" w:line="240" w:lineRule="auto"/>
      </w:pPr>
      <w:r>
        <w:separator/>
      </w:r>
    </w:p>
  </w:endnote>
  <w:endnote w:type="continuationSeparator" w:id="0">
    <w:p w14:paraId="595B5D16" w14:textId="77777777" w:rsidR="007123B6" w:rsidRDefault="007123B6" w:rsidP="00A2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63053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5B7D6" w14:textId="77777777" w:rsidR="00A2437A" w:rsidRDefault="00A24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A50EC" w14:textId="77777777" w:rsidR="00A2437A" w:rsidRDefault="00A2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3104" w14:textId="77777777" w:rsidR="007123B6" w:rsidRDefault="007123B6" w:rsidP="00A2437A">
      <w:pPr>
        <w:spacing w:after="0" w:line="240" w:lineRule="auto"/>
      </w:pPr>
      <w:r>
        <w:separator/>
      </w:r>
    </w:p>
  </w:footnote>
  <w:footnote w:type="continuationSeparator" w:id="0">
    <w:p w14:paraId="38B633F6" w14:textId="77777777" w:rsidR="007123B6" w:rsidRDefault="007123B6" w:rsidP="00A2437A">
      <w:pPr>
        <w:spacing w:after="0" w:line="240" w:lineRule="auto"/>
      </w:pPr>
      <w:r>
        <w:continuationSeparator/>
      </w:r>
    </w:p>
  </w:footnote>
  <w:footnote w:id="1">
    <w:p w14:paraId="788A7CED" w14:textId="05F1702E" w:rsidR="00F11A55" w:rsidRPr="00D04015" w:rsidRDefault="00F11A55" w:rsidP="00D04015">
      <w:pPr>
        <w:spacing w:after="0" w:line="240" w:lineRule="auto"/>
        <w:jc w:val="both"/>
        <w:rPr>
          <w:rFonts w:cs="Traditional Arabic"/>
          <w:sz w:val="20"/>
          <w:szCs w:val="20"/>
          <w:rtl/>
          <w:lang w:bidi="ar-EG"/>
        </w:rPr>
      </w:pPr>
      <w:r w:rsidRPr="00D04015">
        <w:rPr>
          <w:rStyle w:val="FootnoteReference"/>
          <w:rFonts w:cs="Traditional Arabic"/>
          <w:sz w:val="20"/>
          <w:szCs w:val="20"/>
        </w:rPr>
        <w:footnoteRef/>
      </w:r>
      <w:r w:rsidRPr="00D04015">
        <w:rPr>
          <w:rFonts w:cs="Traditional Arabic"/>
          <w:sz w:val="20"/>
          <w:szCs w:val="20"/>
          <w:rtl/>
        </w:rPr>
        <w:t xml:space="preserve"> </w:t>
      </w:r>
      <w:r w:rsidRPr="00D04015">
        <w:rPr>
          <w:rFonts w:cs="Traditional Arabic"/>
          <w:sz w:val="20"/>
          <w:szCs w:val="20"/>
          <w:rtl/>
          <w:lang w:bidi="ar-EG"/>
        </w:rPr>
        <w:t>رواه ابن ماجه وغيره وصححه الشيخ الألباني.</w:t>
      </w:r>
    </w:p>
  </w:footnote>
  <w:footnote w:id="2">
    <w:p w14:paraId="1B60E2D8" w14:textId="217B2F2C" w:rsidR="00D04015" w:rsidRPr="00D04015" w:rsidRDefault="00D04015" w:rsidP="00D04015">
      <w:pPr>
        <w:pStyle w:val="FootnoteText"/>
        <w:jc w:val="both"/>
        <w:rPr>
          <w:rFonts w:cs="Traditional Arabic"/>
          <w:rtl/>
        </w:rPr>
      </w:pPr>
      <w:r w:rsidRPr="00D04015">
        <w:rPr>
          <w:rStyle w:val="FootnoteReference"/>
          <w:rFonts w:cs="Traditional Arabic"/>
        </w:rPr>
        <w:footnoteRef/>
      </w:r>
      <w:r w:rsidRPr="00D04015">
        <w:rPr>
          <w:rFonts w:cs="Traditional Arabic"/>
          <w:rtl/>
        </w:rPr>
        <w:t xml:space="preserve"> رواه أبو داود والبيهقي في السنن الكبرى وصححه الألباني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0E"/>
    <w:rsid w:val="001B55E7"/>
    <w:rsid w:val="00245AE6"/>
    <w:rsid w:val="00331914"/>
    <w:rsid w:val="00367D39"/>
    <w:rsid w:val="003B52D3"/>
    <w:rsid w:val="003C4D02"/>
    <w:rsid w:val="003C5F4E"/>
    <w:rsid w:val="00461F28"/>
    <w:rsid w:val="004C6BD8"/>
    <w:rsid w:val="005B1F76"/>
    <w:rsid w:val="007123B6"/>
    <w:rsid w:val="0086677B"/>
    <w:rsid w:val="00925748"/>
    <w:rsid w:val="009B229F"/>
    <w:rsid w:val="00A22A6F"/>
    <w:rsid w:val="00A2437A"/>
    <w:rsid w:val="00A62CED"/>
    <w:rsid w:val="00A63318"/>
    <w:rsid w:val="00A95A0C"/>
    <w:rsid w:val="00A97A9D"/>
    <w:rsid w:val="00AE2D7B"/>
    <w:rsid w:val="00BE683B"/>
    <w:rsid w:val="00C61CF1"/>
    <w:rsid w:val="00C86EF8"/>
    <w:rsid w:val="00D04015"/>
    <w:rsid w:val="00D12B4C"/>
    <w:rsid w:val="00F11A55"/>
    <w:rsid w:val="00F3110E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E2976"/>
  <w15:docId w15:val="{E6BC67B5-F78E-4497-926E-62F3FAF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3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7A"/>
  </w:style>
  <w:style w:type="paragraph" w:styleId="Footer">
    <w:name w:val="footer"/>
    <w:basedOn w:val="Normal"/>
    <w:link w:val="FooterChar"/>
    <w:uiPriority w:val="99"/>
    <w:unhideWhenUsed/>
    <w:rsid w:val="00A243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7A"/>
  </w:style>
  <w:style w:type="paragraph" w:styleId="FootnoteText">
    <w:name w:val="footnote text"/>
    <w:basedOn w:val="Normal"/>
    <w:link w:val="FootnoteTextChar"/>
    <w:uiPriority w:val="99"/>
    <w:semiHidden/>
    <w:unhideWhenUsed/>
    <w:rsid w:val="00F11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CC76-2B1A-4400-A1D4-FB286FB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21</cp:revision>
  <dcterms:created xsi:type="dcterms:W3CDTF">2019-03-03T18:38:00Z</dcterms:created>
  <dcterms:modified xsi:type="dcterms:W3CDTF">2019-03-04T14:58:00Z</dcterms:modified>
</cp:coreProperties>
</file>