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812D" w14:textId="77777777" w:rsidR="00DA7500" w:rsidRPr="00BC4DB8" w:rsidRDefault="00DA7500" w:rsidP="00DA7500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BC4DB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آداب</w:t>
      </w:r>
      <w:r w:rsidR="006C1281" w:rsidRPr="00BC4DB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ُ</w:t>
      </w:r>
      <w:r w:rsidRPr="00BC4DB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المشي إلى الص</w:t>
      </w:r>
      <w:r w:rsidR="006C1281" w:rsidRPr="00BC4DB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َّ</w:t>
      </w:r>
      <w:r w:rsidRPr="00BC4DB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لاة (4)</w:t>
      </w:r>
    </w:p>
    <w:p w14:paraId="06C97F88" w14:textId="77777777" w:rsidR="00DA7500" w:rsidRPr="00BC4DB8" w:rsidRDefault="00DA7500" w:rsidP="00DA7500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</w:rPr>
      </w:pPr>
      <w:r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الد</w:t>
      </w:r>
      <w:r w:rsidR="006C1281"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َّ</w:t>
      </w:r>
      <w:r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رس</w:t>
      </w:r>
      <w:r w:rsidR="006C1281"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ُ</w:t>
      </w:r>
      <w:r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 xml:space="preserve"> الأ</w:t>
      </w:r>
      <w:r w:rsidR="006C1281"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َ</w:t>
      </w:r>
      <w:r w:rsidRPr="00BC4DB8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ول (1)</w:t>
      </w:r>
    </w:p>
    <w:p w14:paraId="7B2E3242" w14:textId="77777777" w:rsidR="00DA7500" w:rsidRPr="00BC4DB8" w:rsidRDefault="00DA7500" w:rsidP="00DA7500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BC4DB8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سماحة الشيخ/ صالح بن فوزان الفوزان</w:t>
      </w:r>
    </w:p>
    <w:p w14:paraId="364B1479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14:paraId="795D4197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لله رب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المين، والص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والس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لام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على قائد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الغ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الم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ح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ج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لين، نبي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نا محمد، وعلى آله وصحبه أجمعين.</w:t>
      </w:r>
    </w:p>
    <w:p w14:paraId="09AA43AE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مرحبًا بكم أي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ها الإخوة والأخوات في درس من كتاب "</w:t>
      </w:r>
      <w:r w:rsidRPr="00BC4DB8">
        <w:rPr>
          <w:rFonts w:ascii="Traditional Arabic" w:hAnsi="Traditional Arabic" w:cs="Traditional Arabic"/>
          <w:sz w:val="34"/>
          <w:szCs w:val="34"/>
          <w:u w:val="dotDotDash" w:color="0000FF"/>
          <w:rtl/>
        </w:rPr>
        <w:t>آداب المشي إلى الصلاة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"، ضيف هذا اللقاء هو سماحة العل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امة الش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صالح بن فوزان الفوزان، عضو هيئة كبار العلماء، وعضو اللجنة الد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ائمة للإفتاء.</w:t>
      </w:r>
    </w:p>
    <w:p w14:paraId="63F32D9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باسمكم جميعًا -أي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ها 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ادة- نرحب بسماحته، ونشكر له تفضله بشرح هذه المتون المباركة، فأهلا ومرحبًا سماحة الشيخ}.</w:t>
      </w:r>
    </w:p>
    <w:p w14:paraId="03281F3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حياكم الله وبارك فيكم.</w:t>
      </w:r>
    </w:p>
    <w:p w14:paraId="35417CE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{م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ن الأسئلة التي وردت في الباب الس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ابق، يقول الس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ائل: بعض الن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اس يأتي م</w:t>
      </w:r>
      <w:r w:rsidR="00DA7500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سرعًا لإدراك الر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كوع، ويُصد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أصواتًا ويُرد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د "إن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</w:t>
      </w:r>
      <w:r w:rsidR="001D438C" w:rsidRPr="00BC4DB8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 مع الص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ابرين، إن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الله مع الص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ابرين".</w:t>
      </w:r>
    </w:p>
    <w:p w14:paraId="2C60BB07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بسم الله الرحمن الرحيم</w:t>
      </w:r>
    </w:p>
    <w:p w14:paraId="15F3CC9E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لله رب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العالمين، وصل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ى الله وسل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 على نبي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نا محمد وعلى آله وأصحابه أجمعين.</w:t>
      </w:r>
    </w:p>
    <w:p w14:paraId="44FD9168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قال -صَلَّى اللهُ عَلَيْهِ وَسَلَّمَ: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913555"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إِذَا سَمِعْتُمُ الإِقَامَةَ، فَامْشُوا إِلَى الصَّلاَةِ وَعَلَيْكُمْ بِالسَّكِينَةِ وَالوَقَارِ، وَلاَ تُسْرِعُوا، فَمَا أَدْرَكْتُمْ فَصَلُّوا، وَمَا فاتَكم فأتِمُّوا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913555" w:rsidRPr="00BC4DB8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1"/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، وفي رواية: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«ف</w:t>
      </w:r>
      <w:r w:rsidR="00095BD3" w:rsidRPr="00BC4DB8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َاقْضُوا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95BD3" w:rsidRPr="00BC4DB8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2"/>
      </w:r>
      <w:r w:rsidRPr="00BC4DB8">
        <w:rPr>
          <w:rFonts w:ascii="Traditional Arabic" w:hAnsi="Traditional Arabic" w:cs="Traditional Arabic"/>
          <w:sz w:val="34"/>
          <w:szCs w:val="34"/>
          <w:rtl/>
        </w:rPr>
        <w:t>. فالمشروع أن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الإنسان يأتي إلى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 بسكينةٍ ووقارٍ، كما أمر الن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بي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ولا يأتيها بعجلة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ويدخل فيها وهو ثائر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النَّفسِ من 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رعة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أو العدْوِ، فيؤث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 ذلك على خ</w:t>
      </w:r>
      <w:r w:rsidR="00BE588F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شوع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في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2CFD8389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{بعض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اس عندما ي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شاهد الإمام راكعًا؛ يركع في طرف</w:t>
      </w:r>
      <w:r w:rsidR="00913555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ف ث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 يمشي وهو م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نحنٍ. فما حكم ذلك؟}.</w:t>
      </w:r>
    </w:p>
    <w:p w14:paraId="14ABE4AE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lastRenderedPageBreak/>
        <w:t>نهى الن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عن ذلك ل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 دخل حذيفة بن اليمان فرأى النبي -صَلَّى اللهُ عَلَيْهِ وَسَلَّمَ- راكعًا فركع ودبَّ حتى دخل في الصف، فقال له -صَلَّى اللهُ عَلَيْهِ وَسَلَّمَ- ل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 س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من صلاته: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95BD3"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زَادَكَ</w:t>
      </w:r>
      <w:r w:rsidR="00CF423E"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اللَّهُ حِرْصًا</w:t>
      </w:r>
      <w:r w:rsidR="00095BD3"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، وَلاَ تَعُدْ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95BD3" w:rsidRPr="00BC4DB8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3"/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. وفي رواية: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«ولا تعْدُ»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، فأمره النبي -ص</w:t>
      </w:r>
      <w:r w:rsidR="00CF423E" w:rsidRPr="00BC4DB8">
        <w:rPr>
          <w:rFonts w:ascii="Traditional Arabic" w:hAnsi="Traditional Arabic" w:cs="Traditional Arabic"/>
          <w:sz w:val="34"/>
          <w:szCs w:val="34"/>
          <w:rtl/>
        </w:rPr>
        <w:t>َلَّى اللهُ عَلَيْهِ وَسَلَّمَ-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بالس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كينة والوقار، حتى يصل إلى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ف في ه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دوء، فلا ي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شو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 على نفسه، ولا ي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شو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ش على المصل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ين، ولا ي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ذهب الخشوع.</w:t>
      </w:r>
    </w:p>
    <w:p w14:paraId="26EFE80E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{قال المؤلف -رَحِمَهُ اللهُ تَعَالَى: 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(وَمَنْ أَدْرَكَ رَكْعَةً مَعَ الإِمَامِ فَقَدْ أَدْرَكَ الْجَمَاعَةَ)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5CA63A2D" w14:textId="77777777" w:rsidR="00413320" w:rsidRPr="00BC4DB8" w:rsidRDefault="002526BB" w:rsidP="00E51361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هذا هو القول الصحيح؛ أن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الجماعة لا ت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درك إ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ا بإدارك ركعة، كالجمعة، وعلى رواية في المذهب أنها تُدرك بتكبيره قبل سلام الإمام، ولكن هذا مرجوح في المذهب، ولهذ </w:t>
      </w:r>
      <w:r w:rsidR="00413320" w:rsidRPr="00BC4DB8">
        <w:rPr>
          <w:rFonts w:ascii="Traditional Arabic" w:hAnsi="Traditional Arabic" w:cs="Traditional Arabic" w:hint="cs"/>
          <w:sz w:val="34"/>
          <w:szCs w:val="34"/>
          <w:rtl/>
        </w:rPr>
        <w:t xml:space="preserve">قال 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في متن الزاد: 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(ومن كبر قبل سلامه فقد أدرك الجماعة)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بناءً على هذه الرواية المرجوحة.</w:t>
      </w:r>
    </w:p>
    <w:p w14:paraId="7012A90F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(وَتُدْرَكُ بِإِدْرَاكِ الرُّكُوعِ مَعَ الإِمَامِ)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6ECA70D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هذا هو القول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حيح كما ذكرنا.</w:t>
      </w:r>
    </w:p>
    <w:p w14:paraId="66BE7E4B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(وَتُجْزِئُ تَكْبِيرَةُ الإِحْرَامِ عَنْ تَكْبِيرَةِ الرُّكُوعِ)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4FFE60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إذا جاء والإمام راكعًا فإنه يأتي بتكبيرة الإحرام وهو قائم معتدل، ثم ينحني للركوع، ولا يجب في إنحنائه تكبير لأن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 تُجزئ عنها تكبيرة الإحرام، فإن كب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 تكبيرة ثانية للإنحناء فلا بأس بذلك.</w:t>
      </w:r>
    </w:p>
    <w:p w14:paraId="58277746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(لِفِعْلِ زَيْدِ بْنِ ثَابِتٍ وَابْنِ عُمَرَ)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D179A2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ورد عن الصحابيين أنهما كانا يكتفيان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بتكبيرة الإحرام،ولا يأتيان بتكبيرة ثانية للانتقال.</w:t>
      </w:r>
    </w:p>
    <w:p w14:paraId="0D81052A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(وَلاَ يُعْرَفُ لَهُمَا مُخَالِفٌ مِنَ الصَّحَابَةِ)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29AFC4A5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لا يُعرف لهما في هذه المسألة مخالف من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حابة، فدلَّ على أن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ها هي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حيحة.</w:t>
      </w:r>
    </w:p>
    <w:p w14:paraId="5717C41C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(وَإِتْيَانُهُ بِهِمَا أَفْضَلُ خُرُوجًا مِنْ خِلاَفِ مَنْ أَوْجَبَهُ)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B674336" w14:textId="0214CD27" w:rsidR="00FF5238" w:rsidRPr="00BC4DB8" w:rsidRDefault="002526BB" w:rsidP="00BC4DB8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إتيانه بالت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كبيرتين -تكبيرة الإحرام وهو واقف، وتكبيرة الر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كوع وهو ينحني- هذا أفضل للخروج من الخلاف.</w:t>
      </w:r>
    </w:p>
    <w:p w14:paraId="638A2F94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أَدْرَكَهُ بَعْدَ الرُّكُوعِ لَمْ يَكُنْ مُدْرِكًا لِلرَّكْعَةِ)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7502D1D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lastRenderedPageBreak/>
        <w:t>إن أدرك الإمام بعدما اعتدل من الركوع لم يكن مدركًا للركعة، ولكن يُكبِّرُ معهُ للمتابعةِ، ويأتي بركعة بدلًا من هذه التي فاتت.</w:t>
      </w:r>
    </w:p>
    <w:p w14:paraId="69DF7E09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(وَعَلَيْهِ مُتَابَعَتُهُ)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DF30A9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كما ذكرنا.</w:t>
      </w:r>
    </w:p>
    <w:p w14:paraId="2FE93AB6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(وَيُسَنُّ دُخُولُهُ مَعَهُ لِلْخَبَرِ)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46BA7013" w14:textId="730EFFEC" w:rsidR="00FF5238" w:rsidRPr="00BC4DB8" w:rsidRDefault="002526BB" w:rsidP="00BC4DB8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يُسنُّ دخوله معه ولو كان قائمًا بعد الركوع، ولا يؤجل حتى يقوم الإمام للثانية كما يفعله بعض الناس؛ بل يُدرك المتابعة مع الإمام</w:t>
      </w:r>
      <w:r w:rsidR="00EA26DF" w:rsidRPr="00BC4DB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لقوله -صَلَّى اللهُ عَلَيْهِ وَسَلَّمَ: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«من أتى والإمام على حالٍ فليكن معه على تلك الحال»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796A5F1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(وَلاَ يَقُومُ الْمَسْبُوقُ إِلاَّ بَعْدَ سَلاَمِ الإِمَامِ التَّسْلِيمَةَ الثَّانِيَةَ)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0CE0B09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المسبوق بشيءٍ من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 لا يقوم للإتيان بما فاته حتى ي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 إمامه الت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سليمة الث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انية، ولا ي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م معه؛ بل يقوم بعد الت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سليمة الث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انية ويأتي بما فاته من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لاة.</w:t>
      </w:r>
    </w:p>
    <w:p w14:paraId="45B7BBC8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أَدْرَكَهُ فِي سُجُودِ السَّهْوِ بَعْدَ السَّلاَمِ لَمْ يَدْخُلْ مَعَهُ)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4ABD115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إذا جاء والإمام يسجد للس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هو بعد 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لام فلا يدخل معه، لأن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هذا الس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جود ليس من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لاة، وإنما هو سجود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لجبران ما نقص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من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لاة.</w:t>
      </w:r>
    </w:p>
    <w:p w14:paraId="58DFB81E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فَاتَتْهُ الْجَمَاعَةُ اسْتُحِبَّ لَهُ أَنْ يُصَلَّى مَعَهُ)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9A73DED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ولو كان قد 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ى مع الإمام يُستحب له أن يصل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 مع هذا الد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اخل لي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جبر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الجماعة، ليكون هذا الد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اخل قد 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ى جماعةً بانضمام أخيه إليه، ولو كان أخوه قد 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ى الفريضة، فإن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ه يدخل معه ويصل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 معه وتكون له نافلة.</w:t>
      </w:r>
    </w:p>
    <w:p w14:paraId="3FFF7D9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(لِقَوْلِهِ -صَلَّى اللَّهُ عَلَيْهِ وَسَلَّمَ: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يَتَصَدَّقُ عَلَى هَذَا فَيُصَلِّيَ مَعَهُ»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7812706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هذا هو الد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ليل على مسألتنا، فقد دخل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رجل بعدما سلَّمَ الر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سول -صَلَّى اللهُ عَلَيْهِ وَسَلَّمَ- صلاة العصر، فقال: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يَتَصَدَّقُ عَلَى هَذَا فَيُصَلِّيَ مَعَهُ»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، فدلَّ على استحباب ذلك، ولو كان قد صلى مع الإمام فيصلي معه ليتم الجماعة مع هذا المسبوق وتكون له نافلة.</w:t>
      </w:r>
    </w:p>
    <w:p w14:paraId="40C2FAFB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(وَلا تَجِبُ الْقِرَاءَةُ عَلَى مَأْمُومٍ)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32334F2" w14:textId="77777777" w:rsidR="00CF423E" w:rsidRPr="00BC4DB8" w:rsidRDefault="002526BB" w:rsidP="00CF423E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قراءة الفاتحة في الجهرية لا تجب على مأمومٍ، لقوله -صَلَّى اللهُ عَلَيْهِ وَسَلَّمَ: 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FE2AD7"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وَإِذَا قَرَأَ الْإِمَامُ فَأَنْصِتُوا</w:t>
      </w:r>
      <w:r w:rsidRPr="00BC4DB8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F423E" w:rsidRPr="00BC4DB8">
        <w:rPr>
          <w:rFonts w:ascii="Traditional Arabic" w:hAnsi="Traditional Arabic" w:cs="Traditional Arabic"/>
          <w:sz w:val="34"/>
          <w:szCs w:val="34"/>
          <w:rtl/>
        </w:rPr>
        <w:t>، والله -جل وعلا- يقول: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BC4DB8">
        <w:rPr>
          <w:rFonts w:ascii="Traditional Arabic" w:hAnsi="Traditional Arabic" w:cs="Traditional Arabic"/>
          <w:color w:val="FF0000"/>
          <w:sz w:val="34"/>
          <w:szCs w:val="34"/>
          <w:rtl/>
        </w:rPr>
        <w:t>﴿وَإِذَا قُرِئَ الْقُرْآنُ فَاسْتَمِعُوا لَهُ وَأَنصِتُوا لَعَلَّكُمْ تُرْحَمُونَ﴾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BC4DB8">
        <w:rPr>
          <w:rFonts w:ascii="Traditional Arabic" w:hAnsi="Traditional Arabic" w:cs="Traditional Arabic"/>
          <w:sz w:val="20"/>
          <w:szCs w:val="20"/>
          <w:rtl/>
        </w:rPr>
        <w:t>[الأعراف</w:t>
      </w:r>
      <w:r w:rsidRPr="00BC4DB8">
        <w:rPr>
          <w:rFonts w:ascii="Traditional Arabic" w:hAnsi="Traditional Arabic" w:cs="Traditional Arabic" w:hint="cs"/>
          <w:sz w:val="20"/>
          <w:szCs w:val="20"/>
          <w:rtl/>
        </w:rPr>
        <w:t xml:space="preserve">: </w:t>
      </w:r>
      <w:r w:rsidRPr="00BC4DB8">
        <w:rPr>
          <w:rFonts w:ascii="Traditional Arabic" w:hAnsi="Traditional Arabic" w:cs="Traditional Arabic"/>
          <w:sz w:val="20"/>
          <w:szCs w:val="20"/>
          <w:rtl/>
        </w:rPr>
        <w:t>204]</w:t>
      </w:r>
      <w:r w:rsidR="00CF423E" w:rsidRPr="00BC4DB8">
        <w:rPr>
          <w:rFonts w:ascii="Traditional Arabic" w:hAnsi="Traditional Arabic" w:cs="Traditional Arabic"/>
          <w:sz w:val="34"/>
          <w:szCs w:val="34"/>
          <w:rtl/>
        </w:rPr>
        <w:t xml:space="preserve"> قال الإمام أحمد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-رَحِمَهُ اللهُ تَعَالَى: "نزلت هذه الآية في الص</w:t>
      </w:r>
      <w:r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لاة"، يعني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إذا قرأ الإمام في الصلاة فإن</w:t>
      </w:r>
      <w:r w:rsidR="00CF423E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المأمومون إذا سمعوه ينصتون ويسكتون.</w:t>
      </w:r>
    </w:p>
    <w:p w14:paraId="13FEE07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(قال الإمام أحمد: "أجمع</w:t>
      </w:r>
      <w:r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الن</w:t>
      </w:r>
      <w:r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اس</w:t>
      </w:r>
      <w:r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على أنَّ هذه الآية في الص</w:t>
      </w:r>
      <w:r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لاة، وَتُسَنُّ قِرَاءَتُهُ فِيمَا لاَ يَجْهَرُ فِيهِ)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3F4FD8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قال الإمام أحمد: </w:t>
      </w:r>
      <w:r w:rsidR="00AC2221"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(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أجمع الناس</w:t>
      </w:r>
      <w:r w:rsidR="00AC2221" w:rsidRPr="00BC4DB8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يعني</w:t>
      </w:r>
      <w:r w:rsidR="00791E01" w:rsidRPr="00BC4DB8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أجمع العلماء على أنَّ هذه الآية نزلت في الص</w:t>
      </w:r>
      <w:r w:rsidR="00AC2221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لاة.</w:t>
      </w:r>
    </w:p>
    <w:p w14:paraId="58AE2F6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فقوله تعالى: </w:t>
      </w:r>
      <w:r w:rsidR="00AC2221" w:rsidRPr="00BC4DB8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BC4DB8">
        <w:rPr>
          <w:rFonts w:ascii="Traditional Arabic" w:hAnsi="Traditional Arabic" w:cs="Traditional Arabic"/>
          <w:color w:val="FF0000"/>
          <w:sz w:val="34"/>
          <w:szCs w:val="34"/>
          <w:rtl/>
        </w:rPr>
        <w:t>وَإِذَا قُرِئَ الْقُرْآنُ</w:t>
      </w:r>
      <w:r w:rsidR="00AC2221" w:rsidRPr="00BC4DB8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يعني إذا قرأ الإمام وجهر فإن المأمومين ينصتون ويستمعون لقراءته، ولا يقرؤون والإمام يقرأ.</w:t>
      </w:r>
    </w:p>
    <w:p w14:paraId="2D5C7D32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(وَتُسَنُّ قِرَاءَتُهُ فِيمَا لاَ يَجْهَرُ فِيهِ الإِمَامُ)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503BC2A7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أي 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ُسنُّ قراءة الفاتحة والس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ورة في الص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لاة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السِّريَّة كالظُّهرِ والعصرِ، وسم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يت سري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ة</w:t>
      </w:r>
      <w:r w:rsidR="00FE2AD7" w:rsidRPr="00BC4DB8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الإمام والمأمومين 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سر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ون القراءة فيهما.</w:t>
      </w:r>
    </w:p>
    <w:p w14:paraId="2EE7DEB1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</w:t>
      </w:r>
      <w:r w:rsidRPr="00BC4DB8">
        <w:rPr>
          <w:rFonts w:ascii="Traditional Arabic" w:hAnsi="Traditional Arabic" w:cs="Traditional Arabic"/>
          <w:color w:val="0000FF"/>
          <w:sz w:val="34"/>
          <w:szCs w:val="34"/>
          <w:rtl/>
        </w:rPr>
        <w:t>(وأَكْثَرُ أَهْلِ الْعِلْمِ مِنَ الصَّحَابَةِ وَالتَّابِعِينَ)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056E879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أي أن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هذا مروي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عن أكثر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حابة والت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ابعين، أن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 xml:space="preserve"> المأموم لا يقرأ وإمامه يقرأ.</w:t>
      </w:r>
    </w:p>
    <w:p w14:paraId="712117F6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{شكر الله لكم سماحة الش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يخ صالح على تفض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لكم بشرح هذه المتون المباركة من  كتاب "آداب المشي إلى الصلاة".</w:t>
      </w:r>
    </w:p>
    <w:p w14:paraId="1DA12670" w14:textId="77777777" w:rsidR="002526BB" w:rsidRPr="00BC4DB8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نقف عند هذا الحد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، ونستكمل -إن شاء الله- ما تبق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ى من الأسئلة وبقي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ة المتن في الد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رس القادم -بإذن الله تعال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4A4C6A15" w14:textId="77777777" w:rsidR="006E1BFB" w:rsidRPr="002526BB" w:rsidRDefault="002526BB" w:rsidP="00DA7500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BC4DB8">
        <w:rPr>
          <w:rFonts w:ascii="Traditional Arabic" w:hAnsi="Traditional Arabic" w:cs="Traditional Arabic"/>
          <w:sz w:val="34"/>
          <w:szCs w:val="34"/>
          <w:rtl/>
        </w:rPr>
        <w:t>حتى ذلكم الحين نستودعكم الله، وأنقل لكم تحي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ات فريق العمل، والس</w:t>
      </w:r>
      <w:r w:rsidR="001D438C" w:rsidRPr="00BC4DB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C4DB8">
        <w:rPr>
          <w:rFonts w:ascii="Traditional Arabic" w:hAnsi="Traditional Arabic" w:cs="Traditional Arabic"/>
          <w:sz w:val="34"/>
          <w:szCs w:val="34"/>
          <w:rtl/>
        </w:rPr>
        <w:t>لام عليكم ورحمة الله وبركاته}.</w:t>
      </w:r>
      <w:bookmarkStart w:id="0" w:name="_GoBack"/>
      <w:bookmarkEnd w:id="0"/>
    </w:p>
    <w:sectPr w:rsidR="006E1BFB" w:rsidRPr="002526BB" w:rsidSect="00DA7500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8269" w14:textId="77777777" w:rsidR="006B6C98" w:rsidRDefault="006B6C98" w:rsidP="00913555">
      <w:pPr>
        <w:spacing w:after="0" w:line="240" w:lineRule="auto"/>
      </w:pPr>
      <w:r>
        <w:separator/>
      </w:r>
    </w:p>
  </w:endnote>
  <w:endnote w:type="continuationSeparator" w:id="0">
    <w:p w14:paraId="3D55320D" w14:textId="77777777" w:rsidR="006B6C98" w:rsidRDefault="006B6C98" w:rsidP="0091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50460931"/>
      <w:docPartObj>
        <w:docPartGallery w:val="Page Numbers (Bottom of Page)"/>
        <w:docPartUnique/>
      </w:docPartObj>
    </w:sdtPr>
    <w:sdtEndPr/>
    <w:sdtContent>
      <w:p w14:paraId="40AC1008" w14:textId="77777777" w:rsidR="00DA7500" w:rsidRDefault="00DA7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3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3EFD9AD" w14:textId="77777777" w:rsidR="00DA7500" w:rsidRDefault="00DA7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48A1" w14:textId="77777777" w:rsidR="006B6C98" w:rsidRDefault="006B6C98" w:rsidP="00913555">
      <w:pPr>
        <w:spacing w:after="0" w:line="240" w:lineRule="auto"/>
      </w:pPr>
      <w:r>
        <w:separator/>
      </w:r>
    </w:p>
  </w:footnote>
  <w:footnote w:type="continuationSeparator" w:id="0">
    <w:p w14:paraId="0881F0DD" w14:textId="77777777" w:rsidR="006B6C98" w:rsidRDefault="006B6C98" w:rsidP="00913555">
      <w:pPr>
        <w:spacing w:after="0" w:line="240" w:lineRule="auto"/>
      </w:pPr>
      <w:r>
        <w:continuationSeparator/>
      </w:r>
    </w:p>
  </w:footnote>
  <w:footnote w:id="1">
    <w:p w14:paraId="4C85EB04" w14:textId="77777777" w:rsidR="00913555" w:rsidRPr="00DA7500" w:rsidRDefault="00913555">
      <w:pPr>
        <w:pStyle w:val="FootnoteText"/>
        <w:rPr>
          <w:rFonts w:ascii="Traditional Arabic" w:hAnsi="Traditional Arabic" w:cs="Traditional Arabic"/>
          <w:rtl/>
        </w:rPr>
      </w:pPr>
      <w:r w:rsidRPr="00DA7500">
        <w:rPr>
          <w:rStyle w:val="FootnoteReference"/>
          <w:rFonts w:ascii="Traditional Arabic" w:hAnsi="Traditional Arabic" w:cs="Traditional Arabic"/>
        </w:rPr>
        <w:footnoteRef/>
      </w:r>
      <w:r w:rsidRPr="00DA7500">
        <w:rPr>
          <w:rFonts w:ascii="Traditional Arabic" w:hAnsi="Traditional Arabic" w:cs="Traditional Arabic"/>
          <w:rtl/>
        </w:rPr>
        <w:t xml:space="preserve"> صحيح البخاري (636)، صحيح مسلم (602).</w:t>
      </w:r>
    </w:p>
  </w:footnote>
  <w:footnote w:id="2">
    <w:p w14:paraId="4895E181" w14:textId="77777777" w:rsidR="00095BD3" w:rsidRPr="00DA7500" w:rsidRDefault="00095BD3">
      <w:pPr>
        <w:pStyle w:val="FootnoteText"/>
        <w:rPr>
          <w:rFonts w:ascii="Traditional Arabic" w:hAnsi="Traditional Arabic" w:cs="Traditional Arabic"/>
        </w:rPr>
      </w:pPr>
      <w:r w:rsidRPr="00DA7500">
        <w:rPr>
          <w:rStyle w:val="FootnoteReference"/>
          <w:rFonts w:ascii="Traditional Arabic" w:hAnsi="Traditional Arabic" w:cs="Traditional Arabic"/>
        </w:rPr>
        <w:footnoteRef/>
      </w:r>
      <w:r w:rsidRPr="00DA7500">
        <w:rPr>
          <w:rFonts w:ascii="Traditional Arabic" w:hAnsi="Traditional Arabic" w:cs="Traditional Arabic"/>
          <w:rtl/>
        </w:rPr>
        <w:t xml:space="preserve"> مسند الإمام أحمد (12/241)، وصححه أحمد شاكر.</w:t>
      </w:r>
    </w:p>
  </w:footnote>
  <w:footnote w:id="3">
    <w:p w14:paraId="38F8DEAA" w14:textId="77777777" w:rsidR="00095BD3" w:rsidRPr="00CF423E" w:rsidRDefault="00095BD3">
      <w:pPr>
        <w:pStyle w:val="FootnoteText"/>
        <w:rPr>
          <w:rFonts w:ascii="Traditional Arabic" w:hAnsi="Traditional Arabic" w:cs="Traditional Arabic"/>
        </w:rPr>
      </w:pPr>
      <w:r w:rsidRPr="00CF423E">
        <w:rPr>
          <w:rStyle w:val="FootnoteReference"/>
          <w:rFonts w:ascii="Traditional Arabic" w:hAnsi="Traditional Arabic" w:cs="Traditional Arabic"/>
        </w:rPr>
        <w:footnoteRef/>
      </w:r>
      <w:r w:rsidRPr="00CF423E">
        <w:rPr>
          <w:rFonts w:ascii="Traditional Arabic" w:hAnsi="Traditional Arabic" w:cs="Traditional Arabic"/>
          <w:rtl/>
        </w:rPr>
        <w:t xml:space="preserve"> صحيح البخاري (783)</w:t>
      </w:r>
      <w:r w:rsidR="0068068A" w:rsidRPr="00CF423E">
        <w:rPr>
          <w:rFonts w:ascii="Traditional Arabic" w:hAnsi="Traditional Arabic" w:cs="Traditional Arabic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6BB"/>
    <w:rsid w:val="00095BD3"/>
    <w:rsid w:val="00181857"/>
    <w:rsid w:val="001D438C"/>
    <w:rsid w:val="002526BB"/>
    <w:rsid w:val="00266EFC"/>
    <w:rsid w:val="002B0406"/>
    <w:rsid w:val="00304304"/>
    <w:rsid w:val="00413320"/>
    <w:rsid w:val="00500A4E"/>
    <w:rsid w:val="005B1F76"/>
    <w:rsid w:val="0068068A"/>
    <w:rsid w:val="006B6C98"/>
    <w:rsid w:val="006C1281"/>
    <w:rsid w:val="006E1BFB"/>
    <w:rsid w:val="007366FB"/>
    <w:rsid w:val="00791E01"/>
    <w:rsid w:val="00913555"/>
    <w:rsid w:val="00AC2221"/>
    <w:rsid w:val="00BC4DB8"/>
    <w:rsid w:val="00BE588F"/>
    <w:rsid w:val="00C8055A"/>
    <w:rsid w:val="00C91E45"/>
    <w:rsid w:val="00CF423E"/>
    <w:rsid w:val="00DA7500"/>
    <w:rsid w:val="00E51361"/>
    <w:rsid w:val="00EA26DF"/>
    <w:rsid w:val="00FE2AD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4F914"/>
  <w15:docId w15:val="{2DFE1C56-39D5-4F19-BDFB-C1992FD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3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5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7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00"/>
  </w:style>
  <w:style w:type="paragraph" w:styleId="Footer">
    <w:name w:val="footer"/>
    <w:basedOn w:val="Normal"/>
    <w:link w:val="FooterChar"/>
    <w:uiPriority w:val="99"/>
    <w:unhideWhenUsed/>
    <w:rsid w:val="00DA7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00"/>
  </w:style>
  <w:style w:type="character" w:styleId="Hyperlink">
    <w:name w:val="Hyperlink"/>
    <w:basedOn w:val="DefaultParagraphFont"/>
    <w:uiPriority w:val="99"/>
    <w:unhideWhenUsed/>
    <w:rsid w:val="00500A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هشام داود</cp:lastModifiedBy>
  <cp:revision>15</cp:revision>
  <dcterms:created xsi:type="dcterms:W3CDTF">2019-02-03T19:34:00Z</dcterms:created>
  <dcterms:modified xsi:type="dcterms:W3CDTF">2019-02-04T14:28:00Z</dcterms:modified>
</cp:coreProperties>
</file>